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indice del ERS, cuatro requisitos en ficha formal con linea base, la matriz en V con trazabilidad requisito-prueba y una solicitud de cambio decidida.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de VetCare en ficha formal.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en V de VetCare con trazabilidad.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en V y indice del ERS.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Solicitud de cambio sobre linea base aprobada.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significa tener una linea base.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