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de aplicacion · Clase 10 · Parcial 2 (solo evaluacion)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Dia de </w:t>
      </w:r>
      <w:r>
        <w:rPr>
          <w:b/>
          <w:i/>
          <w:color w:val="4A4A49"/>
          <w:sz w:val="21"/>
        </w:rPr>
        <w:t>parcial = solo evaluacion</w:t>
      </w:r>
      <w:r>
        <w:rPr>
          <w:b w:val="0"/>
          <w:i/>
          <w:color w:val="4A4A49"/>
          <w:sz w:val="21"/>
        </w:rPr>
        <w:t>. No hay tema nuevo ni avance del PI en clase.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Enunciado y solucion: </w:t>
      </w:r>
      <w:r>
        <w:rPr>
          <w:rFonts w:ascii="Consolas" w:hAnsi="Consolas"/>
          <w:i/>
          <w:color w:val="111111"/>
          <w:sz w:val="20"/>
        </w:rPr>
        <w:t>Parciales/Parcial 2 - Requerimientos UML y casos de uso.docx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 · </w:t>
      </w:r>
      <w:r>
        <w:rPr>
          <w:b/>
          <w:color w:val="4A4A49"/>
          <w:sz w:val="22"/>
        </w:rPr>
        <w:t>presencial sincrono</w:t>
      </w:r>
    </w:p>
    <w:p>
      <w:pPr>
        <w:spacing w:before="200" w:after="60"/>
      </w:pPr>
      <w:r>
        <w:rPr>
          <w:b/>
          <w:color w:val="1A1C1D"/>
          <w:sz w:val="32"/>
        </w:rPr>
        <w:t>Checklist 120 min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Min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Accion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0-10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Ingreso, asistencia, normas (sin material no autorizado).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10-15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Entregar enunciado. Aclarar tiempo y canal de dudas de forma.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15-100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Desarrollo del parcial (silencio de trabajo).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100-110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Aviso de 10 min; revision de integridad.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110-120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Recoleccion y cierre.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Notas</w:t>
      </w:r>
    </w:p>
    <w:p>
      <w:pPr>
        <w:pStyle w:val="ListBullet"/>
      </w:pPr>
      <w:r>
        <w:rPr>
          <w:b w:val="0"/>
          <w:color w:val="4A4A49"/>
          <w:sz w:val="22"/>
        </w:rPr>
        <w:t>No mezclar «tema + parcial» el mismo dia.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solucion es privada: archivo </w:t>
      </w:r>
      <w:r>
        <w:rPr>
          <w:rFonts w:ascii="Consolas" w:hAnsi="Consolas"/>
          <w:color w:val="111111"/>
          <w:sz w:val="21"/>
        </w:rPr>
        <w:t>* - SOLUCION.docx</w:t>
      </w:r>
      <w:r>
        <w:rPr>
          <w:b w:val="0"/>
          <w:color w:val="4A4A49"/>
          <w:sz w:val="22"/>
        </w:rPr>
        <w:t xml:space="preserve"> en </w:t>
      </w:r>
      <w:r>
        <w:rPr>
          <w:rFonts w:ascii="Consolas" w:hAnsi="Consolas"/>
          <w:color w:val="111111"/>
          <w:sz w:val="21"/>
        </w:rPr>
        <w:t>Parciales/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>El PI VetCare continua en la siguiente clase regular.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