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center"/>
      </w:pPr>
      <w:r>
        <w:rPr>
          <w:rFonts w:ascii="Calibri" w:hAnsi="Calibri" w:eastAsia="Calibri"/>
          <w:b/>
          <w:color w:val="095292"/>
          <w:sz w:val="20"/>
        </w:rPr>
        <w:t>Institución Universitaria Antonio José Camacho — UNIAJC</w:t>
      </w:r>
    </w:p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Guia docente · Proyecto Integrador — Seminario de Sistemas</w:t>
      </w:r>
    </w:p>
    <w:p>
      <w:pPr>
        <w:spacing w:after="120" w:before="160"/>
        <w:jc w:val="center"/>
      </w:pPr>
      <w:r>
        <w:rPr>
          <w:rFonts w:ascii="Calibri" w:hAnsi="Calibri" w:eastAsia="Calibri"/>
          <w:b/>
          <w:color w:val="095292"/>
          <w:sz w:val="26"/>
        </w:rPr>
        <w:t>Seminario de Sistemas</w:t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color w:val="2B2B2B"/>
          <w:sz w:val="22"/>
        </w:rPr>
        <w:t>FI303301 · Grupo 341C · 2026-2</w:t>
      </w:r>
    </w:p>
    <w:p>
      <w:pPr>
        <w:spacing w:after="200" w:before="0"/>
        <w:jc w:val="center"/>
        <w:shd w:val="clear" w:fill="FBE4E4"/>
      </w:pPr>
      <w:r>
        <w:rPr>
          <w:rFonts w:ascii="Calibri" w:hAnsi="Calibri" w:eastAsia="Calibri"/>
          <w:b/>
          <w:color w:val="A02030"/>
          <w:sz w:val="20"/>
        </w:rPr>
        <w:t>DOCUMENTO DOCENTE — No distribuir a estudiantes. Incluye rúbrica e hitos.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Contexto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PI compartido con Programacion II: mismo producto VetCare, distinto entregable. El enunciado original vivia suelto como .gdoc dentro de la carpeta de Clase 1; ahora el documento del estudiante vive en Clases/Proyecto Integrador/ y esta guia en Kit docente/.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Alineacion RAA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RAA1 Patrones y modularidad → organizacion del diseno, separacion de responsabilidades.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RAA2 Documentacion y validacion → SDD, diccionario de datos, plan de pruebas.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RAA3 Presentacion y sustentacion → defensa clara de las decisiones de diseno.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Los tres casos de matricula (lo que mas dudas genera)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Caso A (ambas materias): aqui se califican los planos; el codigo se califica en Prog II. No exigir codigo compilable en esta asignatura.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Caso C (solo Seminario): cierra con SDD + mockup navegable. Es una ruta completa y valida, no una version reducida: dejarlo claro desde Clase 1 para que nadie se sienta en desventaja.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Caso B (solo Prog II): no aparece aca; sus diagramas base los provee el docente en el otro curso. Mantener un juego de diagramas VetCare listo para repartir alla.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Hitos docentes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Sesion (material)</w:t>
            </w:r>
          </w:p>
        </w:tc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Fecha</w:t>
            </w:r>
          </w:p>
        </w:tc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Rol docente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S10 (doble · Clases 11+12)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29/10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Revisar que los RF sean verificables (no deseos vagos) y la coherencia entre casos de uso y diagrama de clases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S11 (Clase 13)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05/11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Wireframes: exigir flujo completo de una tarea real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S12 (Clase 14)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12/11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Consolidacion del documento + ensayo cronometrado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S13 (Clase 15)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19/11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Parcial 3 + sustentacion final</w:t>
            </w:r>
          </w:p>
        </w:tc>
      </w:tr>
    </w:tbl>
    <w:p>
      <w:pPr>
        <w:spacing w:after="80" w:before="0"/>
        <w:jc w:val="left"/>
      </w:pP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Errores frecuentes a vigilar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Requisitos no verificables («el sistema debe ser rapido») sin criterio medible.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Diagrama de clases que no corresponde a los casos de uso entregados.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Mockup bonito que no cubre el flujo critico (registrar → buscar → ver historial).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Diccionario de datos sin tipos ni restricciones: queda inservible para quien programe.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Evidencias a pedir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Documento de diseno (PDF o DOCX) con RF/RNF, UML y diccionario de datos.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Enlace al mockup navegable (Figma/Penpot) o PDF exportado.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Plan de pruebas con casos trazados a requisitos.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