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Actividad autónoma Clase 2 — ADR modelo de servicio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modelo IaaS/PaaS/SaaS define quién opera SO, runtime y costos.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Sin ADR, el PI no puede justificar trade-offs en sustentación ni en parciales.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Decidir modelo dominante (IaaS/PaaS/SaaS) para CloudLite + ADR breve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ADR-001: decisión de modelo de servicio + matriz de comparación aplicada al dominio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Partir de la ficha/C4 de Clase 1 (mismo dominio).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MVP académico típico: PaaS conceptual + SaaS satélite (auth/email).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Google Docs · draw.io (opcional)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las diapositivas y el enunciado del PI (Clases/Proyecto Integrador).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Complete una matriz IaaS/PaaS/SaaS vs su dominio (control, costo cualitativo, operación, time-to-demo).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Redacte ADR-001 (decisión dominante + 2 alternativas descartadas).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Actualice el informe PI (sección «Modelo de servicio»).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 domingo 23:59 en **ExamLab** (Talleres) — mismo doc del PI o anexo.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Cualquier integrante puede explicar la decisión en 60 segundos.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 decisión nombra un modelo dominante (no un poco de todo)?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¿Hay al menos dos alternativas descartadas con razón?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¿Consecuencias incluyen operación, costo y aprendizaje?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(examlab.lovable.app/app · módulo Talleres) · domingo 23:59 (regla del Acuerdo). Un envío por equipo.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