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rPr>
          <w:b/>
          <w:color w:val="1A1C1D"/>
          <w:sz w:val="44"/>
        </w:rPr>
        <w:t>Guion docente — Clase 10: Costos y sostenibilidad cloud</w:t>
      </w:r>
    </w:p>
    <w:p>
      <w:pPr>
        <w:spacing w:before="200" w:after="60"/>
      </w:pPr>
      <w:r>
        <w:rPr>
          <w:b/>
          <w:color w:val="1A1C1D"/>
          <w:sz w:val="32"/>
        </w:rPr>
        <w:t>Información de la clase</w:t>
      </w:r>
    </w:p>
    <w:p>
      <w:pPr>
        <w:pStyle w:val="ListBullet"/>
      </w:pPr>
      <w:r>
        <w:rPr>
          <w:b w:val="0"/>
          <w:color w:val="4A4A49"/>
          <w:sz w:val="22"/>
        </w:rPr>
        <w:t>Asignatura: Arquitectura de Sistemas Computacionales (FI303380)</w:t>
      </w:r>
    </w:p>
    <w:p>
      <w:pPr>
        <w:pStyle w:val="ListBullet"/>
      </w:pPr>
      <w:r>
        <w:rPr>
          <w:b w:val="0"/>
          <w:color w:val="4A4A49"/>
          <w:sz w:val="22"/>
        </w:rPr>
        <w:t xml:space="preserve">Duración del bloque: </w:t>
      </w:r>
      <w:r>
        <w:rPr>
          <w:b/>
          <w:color w:val="4A4A49"/>
          <w:sz w:val="22"/>
        </w:rPr>
        <w:t>120 min</w:t>
      </w:r>
    </w:p>
    <w:p>
      <w:pPr>
        <w:pStyle w:val="ListBullet"/>
      </w:pPr>
      <w:r>
        <w:rPr>
          <w:b w:val="0"/>
          <w:color w:val="4A4A49"/>
          <w:sz w:val="22"/>
        </w:rPr>
        <w:t>Tipo: Actividad autónoma</w:t>
      </w:r>
    </w:p>
    <w:p>
      <w:pPr>
        <w:pStyle w:val="ListBullet"/>
      </w:pPr>
      <w:r>
        <w:rPr>
          <w:b w:val="0"/>
          <w:color w:val="4A4A49"/>
          <w:sz w:val="22"/>
        </w:rPr>
        <w:t xml:space="preserve">Enfoque: </w:t>
      </w:r>
      <w:r>
        <w:rPr>
          <w:b/>
          <w:color w:val="4A4A49"/>
          <w:sz w:val="22"/>
        </w:rPr>
        <w:t>Proyecto Integrador CloudLite App</w:t>
      </w:r>
      <w:r>
        <w:rPr>
          <w:b w:val="0"/>
          <w:color w:val="4A4A49"/>
          <w:sz w:val="22"/>
        </w:rPr>
        <w:t xml:space="preserve"> (parte práctica)</w:t>
      </w:r>
    </w:p>
    <w:p>
      <w:pPr>
        <w:pStyle w:val="ListBullet"/>
      </w:pPr>
      <w:r>
        <w:rPr>
          <w:b w:val="0"/>
          <w:color w:val="4A4A49"/>
          <w:sz w:val="22"/>
        </w:rPr>
        <w:t>Sin fechas de periodo · sin bio · sin mapa completo del curso</w:t>
      </w:r>
    </w:p>
    <w:p>
      <w:pPr>
        <w:spacing w:before="200" w:after="60"/>
      </w:pPr>
      <w:r>
        <w:rPr>
          <w:b/>
          <w:color w:val="1A1C1D"/>
          <w:sz w:val="32"/>
        </w:rPr>
        <w:t>Objetivos de la clase</w:t>
      </w:r>
    </w:p>
    <w:p>
      <w:pPr>
        <w:pStyle w:val="ListBullet"/>
      </w:pPr>
      <w:r>
        <w:rPr>
          <w:b w:val="0"/>
          <w:color w:val="4A4A49"/>
          <w:sz w:val="22"/>
        </w:rPr>
        <w:t>Identificar drivers de costo (cómputo, datos, transferencia, idle).</w:t>
      </w:r>
    </w:p>
    <w:p>
      <w:pPr>
        <w:pStyle w:val="ListBullet"/>
      </w:pPr>
      <w:r>
        <w:rPr>
          <w:b w:val="0"/>
          <w:color w:val="4A4A49"/>
          <w:sz w:val="22"/>
        </w:rPr>
        <w:t>Proponer 3 apalancamientos de ahorro sin romper el diseño.</w:t>
      </w:r>
    </w:p>
    <w:p>
      <w:pPr>
        <w:pStyle w:val="ListBullet"/>
      </w:pPr>
      <w:r>
        <w:rPr>
          <w:b w:val="0"/>
          <w:color w:val="4A4A49"/>
          <w:sz w:val="22"/>
        </w:rPr>
        <w:t>Redactar sostenibilidad (apagado de labs, imágenes ligeras, sobredimensionamiento).</w:t>
      </w:r>
    </w:p>
    <w:p>
      <w:pPr>
        <w:spacing w:before="200" w:after="60"/>
      </w:pPr>
      <w:r>
        <w:rPr>
          <w:b/>
          <w:color w:val="1A1C1D"/>
          <w:sz w:val="32"/>
        </w:rPr>
        <w:t>Hoy avanzamos el PI en…</w:t>
      </w:r>
    </w:p>
    <w:p>
      <w:r>
        <w:rPr>
          <w:b/>
          <w:color w:val="4A4A49"/>
          <w:sz w:val="22"/>
        </w:rPr>
        <w:t>Estimación cualitativa de costos + notas de sostenibilidad</w:t>
      </w:r>
    </w:p>
    <w:p>
      <w:r>
        <w:rPr>
          <w:b/>
          <w:color w:val="4A4A49"/>
          <w:sz w:val="22"/>
        </w:rPr>
        <w:t>Entregable concreto:</w:t>
      </w:r>
      <w:r>
        <w:rPr>
          <w:b w:val="0"/>
          <w:color w:val="4A4A49"/>
          <w:sz w:val="22"/>
        </w:rPr>
        <w:t xml:space="preserve"> Sección Costos/Sostenibilidad del informe (bajo/medio + drivers)</w:t>
      </w:r>
    </w:p>
    <w:p>
      <w:r>
        <w:rPr>
          <w:b/>
          <w:color w:val="4A4A49"/>
          <w:sz w:val="22"/>
        </w:rPr>
        <w:t>Herramienta:</w:t>
      </w:r>
      <w:r>
        <w:rPr>
          <w:b w:val="0"/>
          <w:color w:val="4A4A49"/>
          <w:sz w:val="22"/>
        </w:rPr>
        <w:t xml:space="preserve"> Google Docs</w:t>
      </w:r>
    </w:p>
    <w:p>
      <w:pPr>
        <w:spacing w:before="200" w:after="60"/>
      </w:pPr>
      <w:r>
        <w:rPr>
          <w:b/>
          <w:color w:val="1A1C1D"/>
          <w:sz w:val="32"/>
        </w:rPr>
        <w:t>Fundamento teórico para el docente</w:t>
      </w:r>
    </w:p>
    <w:p>
      <w:r>
        <w:rPr>
          <w:b w:val="0"/>
          <w:color w:val="4A4A49"/>
          <w:sz w:val="22"/>
        </w:rPr>
        <w:t>Costo en la nube se analiza aunque no haya facturacion real: cualitativamente en niveles Bajo/Medio/Alto por componente (ej. una base de datos gestionada = costo medio-alto por almacenamiento+computo constante; una funcion serverless que casi no se usa = costo bajo), identificando los DRIVERS de costo (que factor especifico hace subir el gasto: numero de instancias, volumen de datos, trafico de red saliente).</w:t>
      </w:r>
    </w:p>
    <w:p>
      <w:r>
        <w:rPr>
          <w:b w:val="0"/>
          <w:color w:val="4A4A49"/>
          <w:sz w:val="22"/>
        </w:rPr>
        <w:t>Sostenibilidad tecnica (no ambiental en este contexto) = right-sizing: no sobre-aprovisionar recursos "por si acaso" (una maquina grande corriendo al 5% de uso es desperdicio puro), usar labs/entornos temporales que se apagan cuando no se usan en vez de dejar todo corriendo 24/7, e imagenes de contenedor "slim" (minimas, sin paquetes innecesarios) que consumen menos storage y arrancan mas rapido.</w:t>
      </w:r>
    </w:p>
    <w:p>
      <w:r>
        <w:rPr>
          <w:b w:val="0"/>
          <w:color w:val="4A4A49"/>
          <w:sz w:val="22"/>
        </w:rPr>
        <w:t>Conexion directa con Clase 13 (escalabilidad): escalar automaticamente HACIA ARRIBA sin un limite o politica de apagado tambien escala el costo sin control — el diseño de autoescalado y el analisis de costo son la misma decision vista desde dos angulos.</w:t>
      </w:r>
    </w:p>
    <w:p>
      <w:r>
        <w:rPr>
          <w:b w:val="0"/>
          <w:color w:val="4A4A49"/>
          <w:sz w:val="22"/>
        </w:rPr>
        <w:t>Error de docente que no domina el tema: tratar el costo como un tema "de negocio, no tecnico" — las decisiones que mas impactan el costo (tipo de instancia, almacenamiento elegido, arquitectura con o sin colas/cache) son decisiones de arquitectura, tomadas por quien diseña el sistema.</w:t>
      </w:r>
    </w:p>
    <w:p>
      <w:r>
        <w:rPr>
          <w:b w:val="0"/>
          <w:color w:val="4A4A49"/>
          <w:sz w:val="22"/>
        </w:rPr>
        <w:t xml:space="preserve">Referencia de slides: </w:t>
      </w:r>
      <w:r>
        <w:rPr>
          <w:rFonts w:ascii="Consolas" w:hAnsi="Consolas"/>
          <w:color w:val="111111"/>
          <w:sz w:val="21"/>
        </w:rPr>
        <w:t>Clases/Clase 10 - Costos y sostenibilidad cloud/Presentacion.pptx</w:t>
      </w:r>
      <w:r>
        <w:rPr>
          <w:b w:val="0"/>
          <w:color w:val="4A4A49"/>
          <w:sz w:val="22"/>
        </w:rPr>
        <w:t xml:space="preserve"> (solo tema de esta clase).</w:t>
      </w:r>
    </w:p>
    <w:p>
      <w:pPr>
        <w:spacing w:before="200" w:after="60"/>
      </w:pPr>
      <w:r>
        <w:rPr>
          <w:b/>
          <w:color w:val="1A1C1D"/>
          <w:sz w:val="32"/>
        </w:rPr>
        <w:t>Plan de clase minuto a minuto (120 min)</w:t>
      </w:r>
    </w:p>
    <w:p>
      <w:pPr>
        <w:spacing w:before="200" w:after="60"/>
      </w:pPr>
      <w:r>
        <w:rPr>
          <w:b/>
          <w:color w:val="1A1C1D"/>
          <w:sz w:val="32"/>
        </w:rPr>
        <w:t>Modalidad autónoma (festivo)</w:t>
      </w:r>
    </w:p>
    <w:p>
      <w:r>
        <w:rPr>
          <w:b w:val="0"/>
          <w:color w:val="4A4A49"/>
          <w:sz w:val="22"/>
        </w:rPr>
        <w:t>No hay encuentro síncrono obligatorio. El estudiante trabaja con Presentacion.pptx + Taller.docx.</w:t>
      </w:r>
    </w:p>
    <w:p>
      <w:pPr>
        <w:spacing w:before="200" w:after="60"/>
      </w:pPr>
      <w:r>
        <w:rPr>
          <w:b/>
          <w:color w:val="1A1C1D"/>
          <w:sz w:val="32"/>
        </w:rPr>
        <w:t>Guion del docente (asíncrono)</w:t>
      </w:r>
    </w:p>
    <w:p>
      <w:pPr>
        <w:pStyle w:val="ListNumber"/>
      </w:pPr>
      <w:r>
        <w:rPr>
          <w:b w:val="0"/>
          <w:color w:val="4A4A49"/>
          <w:sz w:val="22"/>
        </w:rPr>
        <w:t>Publica en ExamLab: diapositivas + taller + recordatorio del PI.</w:t>
      </w:r>
    </w:p>
    <w:p>
      <w:pPr>
        <w:pStyle w:val="ListNumber"/>
      </w:pPr>
      <w:r>
        <w:rPr>
          <w:b w:val="0"/>
          <w:color w:val="4A4A49"/>
          <w:sz w:val="22"/>
        </w:rPr>
        <w:t>Mensaje sugerido: «Clase 10 autónoma. Hoy avanzamos el PI en: Estimación cualitativa de costos + notas de sostenibilidad.</w:t>
      </w:r>
    </w:p>
    <w:p>
      <w:r>
        <w:rPr>
          <w:b w:val="0"/>
          <w:color w:val="4A4A49"/>
          <w:sz w:val="22"/>
        </w:rPr>
        <w:t>Entregable: Sección Costos/Sostenibilidad del informe (bajo/medio + drivers). Duda por foro/correo institucional.»</w:t>
      </w:r>
    </w:p>
    <w:p>
      <w:pPr>
        <w:pStyle w:val="ListNumber"/>
      </w:pPr>
      <w:r>
        <w:rPr>
          <w:b w:val="0"/>
          <w:color w:val="4A4A49"/>
          <w:sz w:val="22"/>
        </w:rPr>
        <w:t>Revisa entregas domingo 23:59; deja feedback breve orientado a la rúbrica PI.</w:t>
      </w:r>
    </w:p>
    <w:p>
      <w:pPr>
        <w:spacing w:before="200" w:after="60"/>
      </w:pPr>
      <w:r>
        <w:rPr>
          <w:b/>
          <w:color w:val="1A1C1D"/>
          <w:sz w:val="32"/>
        </w:rPr>
        <w:t>Si ofreces office hours voluntario (opcional, 20–30 min)</w:t>
      </w:r>
    </w:p>
    <w:p>
      <w:r>
        <w:rPr>
          <w:b w:val="0"/>
          <w:color w:val="4A4A49"/>
          <w:sz w:val="22"/>
        </w:rPr>
        <w:t>Resuelve bloqueos de diagrama/ADR; no adelantes Parcial.</w:t>
      </w:r>
    </w:p>
    <w:p>
      <w:pPr>
        <w:spacing w:before="200" w:after="60"/>
      </w:pPr>
      <w:r>
        <w:rPr>
          <w:b/>
          <w:color w:val="1A1C1D"/>
          <w:sz w:val="32"/>
        </w:rPr>
        <w:t>Actividad / taller (detalle)</w:t>
      </w:r>
    </w:p>
    <w:p>
      <w:pPr>
        <w:pStyle w:val="ListNumber"/>
      </w:pPr>
      <w:r>
        <w:rPr>
          <w:b w:val="0"/>
          <w:color w:val="4A4A49"/>
          <w:sz w:val="22"/>
        </w:rPr>
        <w:t>Tabla componente → driver de costo → nivel (B/M/A) → apalancamiento.</w:t>
      </w:r>
    </w:p>
    <w:p>
      <w:pPr>
        <w:pStyle w:val="ListNumber"/>
      </w:pPr>
      <w:r>
        <w:rPr>
          <w:b w:val="0"/>
          <w:color w:val="4A4A49"/>
          <w:sz w:val="22"/>
        </w:rPr>
        <w:t>3 acciones de sostenibilidad aplicables al diseño.</w:t>
      </w:r>
    </w:p>
    <w:p>
      <w:pPr>
        <w:pStyle w:val="ListNumber"/>
      </w:pPr>
      <w:r>
        <w:rPr>
          <w:b w:val="0"/>
          <w:color w:val="4A4A49"/>
          <w:sz w:val="22"/>
        </w:rPr>
        <w:t>Integre en el informe PI (1 página).</w:t>
      </w:r>
    </w:p>
    <w:p>
      <w:pPr>
        <w:pStyle w:val="ListNumber"/>
      </w:pPr>
      <w:r>
        <w:rPr>
          <w:b w:val="0"/>
          <w:color w:val="4A4A49"/>
          <w:sz w:val="22"/>
        </w:rPr>
        <w:t>Entrega domingo 23:59.</w:t>
      </w:r>
    </w:p>
    <w:p>
      <w:pPr>
        <w:spacing w:before="200" w:after="60"/>
      </w:pPr>
      <w:r>
        <w:rPr>
          <w:b/>
          <w:color w:val="1A1C1D"/>
          <w:sz w:val="32"/>
        </w:rPr>
        <w:t>Criterio de éxito</w:t>
      </w:r>
    </w:p>
    <w:p>
      <w:pPr>
        <w:pStyle w:val="ListBullet"/>
      </w:pPr>
      <w:r>
        <w:rPr>
          <w:b w:val="0"/>
          <w:color w:val="4A4A49"/>
          <w:sz w:val="22"/>
        </w:rPr>
        <w:t>Artefacto integrado al paquete PI (no archivo huérfano).</w:t>
      </w:r>
    </w:p>
    <w:p>
      <w:pPr>
        <w:pStyle w:val="ListBullet"/>
      </w:pPr>
      <w:r>
        <w:rPr>
          <w:b w:val="0"/>
          <w:color w:val="4A4A49"/>
          <w:sz w:val="22"/>
        </w:rPr>
        <w:t>Evidencia adjunta.</w:t>
      </w:r>
    </w:p>
    <w:p>
      <w:pPr>
        <w:pStyle w:val="ListBullet"/>
      </w:pPr>
      <w:r>
        <w:rPr>
          <w:b w:val="0"/>
          <w:color w:val="4A4A49"/>
          <w:sz w:val="22"/>
        </w:rPr>
        <w:t>Explicación oral de 60 s por integrante (muestreo).</w:t>
      </w:r>
    </w:p>
    <w:p>
      <w:pPr>
        <w:spacing w:before="200" w:after="60"/>
      </w:pPr>
      <w:r>
        <w:rPr>
          <w:b/>
          <w:color w:val="1A1C1D"/>
          <w:sz w:val="32"/>
        </w:rPr>
        <w:t>Quiz</w:t>
      </w:r>
    </w:p>
    <w:p>
      <w:r>
        <w:rPr>
          <w:b w:val="0"/>
          <w:color w:val="4A4A49"/>
          <w:sz w:val="22"/>
        </w:rPr>
        <w:t xml:space="preserve">Ver </w:t>
      </w:r>
      <w:r>
        <w:rPr>
          <w:rFonts w:ascii="Consolas" w:hAnsi="Consolas"/>
          <w:color w:val="111111"/>
          <w:sz w:val="21"/>
        </w:rPr>
        <w:t>Kit docente/Clase 10/Quiz Clase 10 - Costos y sostenibilidad cloud.docx</w:t>
      </w:r>
      <w:r>
        <w:rPr>
          <w:b w:val="0"/>
          <w:color w:val="4A4A49"/>
          <w:sz w:val="22"/>
        </w:rPr>
        <w:t xml:space="preserve"> (con respuestas).</w:t>
      </w:r>
    </w:p>
    <w:p>
      <w:pPr>
        <w:spacing w:before="200" w:after="60"/>
      </w:pPr>
      <w:r>
        <w:rPr>
          <w:b/>
          <w:color w:val="1A1C1D"/>
          <w:sz w:val="32"/>
        </w:rPr>
        <w:t>Capturas sugeridas</w:t>
      </w:r>
    </w:p>
    <w:p>
      <w:pPr>
        <w:shd w:val="clear" w:fill="FFF4EC"/>
        <w:spacing w:before="80" w:after="40"/>
      </w:pPr>
      <w:r>
        <w:rPr>
          <w:b/>
          <w:color w:val="C23E12"/>
          <w:sz w:val="21"/>
        </w:rPr>
        <w:t>📸  Pantallazo: herramienta del día en uso con artefacto CloudLite</w:t>
      </w:r>
    </w:p>
    <w:p>
      <w:pPr>
        <w:shd w:val="clear" w:fill="F2F2F3"/>
      </w:pPr>
      <w:r>
        <w:rPr>
          <w:i/>
          <w:color w:val="4A4A49"/>
          <w:sz w:val="18"/>
        </w:rPr>
        <w:t>[  Inserta aquí la captura de pantalla  ]</w:t>
      </w:r>
    </w:p>
    <w:p>
      <w:pPr>
        <w:pStyle w:val="ListBullet"/>
      </w:pPr>
      <w:r>
        <w:rPr>
          <w:b w:val="0"/>
          <w:color w:val="4A4A49"/>
          <w:sz w:val="22"/>
        </w:rPr>
        <w:t>📸 Pantallazo: evidencia de entregable (diagrama/YAML/lab)</w:t>
      </w:r>
    </w:p>
    <w:p>
      <w:pPr>
        <w:spacing w:before="200" w:after="60"/>
      </w:pPr>
      <w:r>
        <w:rPr>
          <w:b/>
          <w:color w:val="1A1C1D"/>
          <w:sz w:val="32"/>
        </w:rPr>
        <w:t>Notas operativas</w:t>
      </w:r>
    </w:p>
    <w:p>
      <w:pPr>
        <w:pStyle w:val="ListBullet"/>
      </w:pPr>
      <w:r>
        <w:rPr>
          <w:b w:val="0"/>
          <w:color w:val="4A4A49"/>
          <w:sz w:val="22"/>
        </w:rPr>
        <w:t>Plataforma de entrega: ExamLab (examlab.lovable.app/app). La UNIAJC no tiene campus virtual propio.</w:t>
      </w:r>
    </w:p>
    <w:p>
      <w:pPr>
        <w:pStyle w:val="ListBullet"/>
      </w:pPr>
      <w:r>
        <w:rPr>
          <w:b w:val="0"/>
          <w:color w:val="4A4A49"/>
          <w:sz w:val="22"/>
        </w:rPr>
        <w:t>Prohibido pedir cloud con tarjeta.</w:t>
      </w:r>
    </w:p>
    <w:p>
      <w:pPr>
        <w:pStyle w:val="ListBullet"/>
      </w:pPr>
      <w:r>
        <w:rPr>
          <w:b w:val="0"/>
          <w:color w:val="4A4A49"/>
          <w:sz w:val="22"/>
        </w:rPr>
        <w:t>Día de parcial = solo evaluación (no aplica a esta clase).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Calibri" w:hAnsi="Calibri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