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IaaS, PaaS y SaaS son niveles de abstraccion sobre la infraestructura, y cada uno mueve la linea de responsabilidad compartida (shared responsibility model): en IaaS (Infrastructure as a Service) el proveedor da solo maquinas/red/almacenamiento y el cliente administra sistema operativo, runtime y aplicacion; en PaaS (Platform as a Service) el proveedor tambien administra el sistema operativo y el runtime, el cliente solo sube su codigo; en SaaS (Software as a Service) el proveedor entrega la aplicacion completa y el cliente solo la usa (ej. Gmail).</w:t>
      </w:r>
    </w:p>
    <w:p>
      <w:r>
        <w:rPr>
          <w:b w:val="0"/>
          <w:color w:val="4A4A49"/>
          <w:sz w:val="22"/>
        </w:rPr>
        <w:t>Regla practica: mientras mas alto el nivel de abstraccion (SaaS &gt; PaaS &gt; IaaS), menos control tiene el cliente pero menos trabajo operativo asume. Para un MVP academico como CloudLite, un enfoque PaaS conceptual + contenedores suele ser el punto dulce: control suficiente para aprender arquitectura, sin la carga operativa de administrar servidores completos.</w:t>
      </w:r>
    </w:p>
    <w:p>
      <w:r>
        <w:rPr>
          <w:b w:val="0"/>
          <w:color w:val="4A4A49"/>
          <w:sz w:val="22"/>
        </w:rPr>
        <w:t>Un ADR (Architecture Decision Record) es un documento corto que registra UNA decision arquitectonica: el contexto/problema, las opciones consideradas, la decision tomada y las consecuencias (trade-offs aceptados). Obliga a hacer explicito el trade-off control-vs-velocidad en vez de elegir "porque si".</w:t>
      </w:r>
    </w:p>
    <w:p>
      <w:r>
        <w:rPr>
          <w:b w:val="0"/>
          <w:color w:val="4A4A49"/>
          <w:sz w:val="22"/>
        </w:rPr>
        <w:t>Error de docente que no domina el tema: presentar IaaS/PaaS/SaaS como si fueran productos especificos de una marca en vez de un modelo conceptual de responsabilidad — el modelo aplica igual a cualquier proveedor, la pregunta siempre es "quien administra que capa".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2 autónoma. Hoy avanzamos el PI en: Decidir modelo dominante (IaaS/PaaS/SaaS) para CloudLite + ADR breve.</w:t>
      </w:r>
    </w:p>
    <w:p>
      <w:r>
        <w:rPr>
          <w:b w:val="0"/>
          <w:color w:val="4A4A49"/>
          <w:sz w:val="22"/>
        </w:rPr>
        <w:t>Entregable: ADR-001: decisión de modelo de servicio + matriz de comparación aplicada al dominio.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Lea las diapositivas y el enunciado del PI (Clases/Proyecto Integrador).</w:t>
      </w:r>
    </w:p>
    <w:p>
      <w:pPr>
        <w:pStyle w:val="ListNumber"/>
      </w:pPr>
      <w:r>
        <w:rPr>
          <w:b w:val="0"/>
          <w:color w:val="4A4A49"/>
          <w:sz w:val="22"/>
        </w:rPr>
        <w:t>Complete una matriz IaaS/PaaS/SaaS vs su dominio (control, costo cualitativo, operación, time-to-demo).</w:t>
      </w:r>
    </w:p>
    <w:p>
      <w:pPr>
        <w:pStyle w:val="ListNumber"/>
      </w:pPr>
      <w:r>
        <w:rPr>
          <w:b w:val="0"/>
          <w:color w:val="4A4A49"/>
          <w:sz w:val="22"/>
        </w:rPr>
        <w:t>Redacte ADR-001 (decisión dominante + 2 alternativas descartadas).</w:t>
      </w:r>
    </w:p>
    <w:p>
      <w:pPr>
        <w:pStyle w:val="ListNumber"/>
      </w:pPr>
      <w:r>
        <w:rPr>
          <w:b w:val="0"/>
          <w:color w:val="4A4A49"/>
          <w:sz w:val="22"/>
        </w:rPr>
        <w:t>Actualice el informe PI (sección «Modelo de servicio»).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Entrega domingo 23:59 en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(Talleres) — mismo doc del PI o anexo.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