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Ejecutar un contenedor en lab de navegador (sin Docker Desktop obligatorio).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captura.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(+ compose opcional) + captura/enlace lab navegador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Play with Docker (PWD) · alterna si no carga: Killercoda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Virtualizacion (maquinas virtuales): un hipervisor crea varias maquinas virtuales sobre un mismo hardware fisico, y cada VM tiene su PROPIO sistema operativo completo (kernel incluido), aislado de las demas. Es aislamiento fuerte, pero cada VM carga el peso completo de un SO.</w:t>
      </w:r>
    </w:p>
    <w:p>
      <w:r>
        <w:rPr>
          <w:b w:val="0"/>
          <w:color w:val="4A4A49"/>
          <w:sz w:val="22"/>
        </w:rPr>
        <w:t>Contenedores: en cambio, todos los contenedores de una maquina COMPARTEN el kernel del sistema operativo anfitrion; cada contenedor solo empaqueta la aplicacion y sus dependencias (librerias, configuracion), no un SO completo. Por eso arrancan en segundos (no minutos) y pesan megabytes (no gigabytes) comparado con una VM.</w:t>
      </w:r>
    </w:p>
    <w:p>
      <w:r>
        <w:rPr>
          <w:b w:val="0"/>
          <w:color w:val="4A4A49"/>
          <w:sz w:val="22"/>
        </w:rPr>
        <w:t>Distincion clave que se confunde seguido: una IMAGEN es la plantilla inmutable (el "molde": codigo + dependencias + configuracion); un CONTENEDOR es una instancia en ejecucion de esa imagen (el "objeto" corriendo). De una misma imagen se pueden lanzar muchos contenedores identicos.</w:t>
      </w:r>
    </w:p>
    <w:p>
      <w:r>
        <w:rPr>
          <w:b w:val="0"/>
          <w:color w:val="4A4A49"/>
          <w:sz w:val="22"/>
        </w:rPr>
        <w:t>Para evitar depender de Docker Desktop (que requiere licencia/recursos en equipos institucionales), se usa Play with Docker (labs.play-with-docker.com, sesiones de 4h) como lab principal en el navegador — da una terminal Linux real con Docker instalado, sin instalar nada localmente. Killercoda queda como alterna si PWD no esta disponible.</w:t>
      </w:r>
    </w:p>
    <w:p>
      <w:r>
        <w:rPr>
          <w:b w:val="0"/>
          <w:color w:val="4A4A49"/>
          <w:sz w:val="22"/>
        </w:rPr>
        <w:t>Error de docente que no domina el tema: decir que un contenedor "es una VM ligera" sin mas — la diferencia arquitectonica real es el aislamiento (kernel propio vs kernel compartido), no solo el tamano.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(+ compose opcional) + captura/enlace lab navegador.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Play with Docker (PWD) · alterna si no carga: Killercoda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Play with Docker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74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7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(`docker ps`)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2060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0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Definan qué servicio contenerizan hoy (API stub o front estático del dominio).</w:t>
      </w:r>
    </w:p>
    <w:p>
      <w:pPr>
        <w:pStyle w:val="ListNumber"/>
      </w:pPr>
      <w:r>
        <w:rPr>
          <w:b w:val="0"/>
          <w:color w:val="4A4A49"/>
          <w:sz w:val="22"/>
        </w:rPr>
        <w:t>En Play with Docker: construyan y corran el contenedor (si no carga, Killercoda como alterna).</w:t>
      </w:r>
    </w:p>
    <w:p>
      <w:pPr>
        <w:pStyle w:val="ListNumber"/>
      </w:pPr>
      <w:r>
        <w:rPr>
          <w:b w:val="0"/>
          <w:color w:val="4A4A49"/>
          <w:sz w:val="22"/>
        </w:rPr>
        <w:t>Documenten Dockerfile (y compose si aplica) en el repo/ZIP del PI.</w:t>
      </w:r>
    </w:p>
    <w:p>
      <w:pPr>
        <w:pStyle w:val="ListNumber"/>
      </w:pPr>
      <w:r>
        <w:rPr>
          <w:b w:val="0"/>
          <w:color w:val="4A4A49"/>
          <w:sz w:val="22"/>
        </w:rPr>
        <w:t>Capturen evidencia (PNG) o enlace de sesión + nota de caducidad.</w:t>
      </w:r>
    </w:p>
    <w:p>
      <w:pPr>
        <w:pStyle w:val="ListNumber"/>
      </w:pPr>
      <w:r>
        <w:rPr>
          <w:b w:val="0"/>
          <w:color w:val="4A4A49"/>
          <w:sz w:val="22"/>
        </w:rPr>
        <w:t>Actualicen informe: sección Contenedores + enlace a diagrama de despliegue futuro.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