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15 · VetCare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PRIVADO DOCENTE — no compartir ni proyectar</w:t>
      </w:r>
    </w:p>
    <w:p>
      <w:pPr>
        <w:spacing w:after="120"/>
      </w:pPr>
      <w:r>
        <w:rPr>
          <w:rFonts w:ascii="Calibri" w:hAnsi="Calibri" w:eastAsia="Calibri"/>
          <w:b w:val="0"/>
          <w:color w:val="2B2B2B"/>
          <w:sz w:val="20"/>
        </w:rPr>
        <w:t>Usar tras el quiz para retro. No proyectar en Presentacion.pptx.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[OM] A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ER, scripts procs/TX, contrato, capturas playground, checklist.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Respuesta alineada a decisiones del equipo (procs vs app, índices,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