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13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Analizar un caso real sirve en el PI para: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Copiar el logo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Extraer lecciones de modelo, seguridad o operaciones a VetCare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Evitar evidencias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Eliminar el ER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Lección típica transferable a VetCare: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Ignorar backups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Auditoría, privilegios y consistencia en operaciones críticas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SELECT * siempre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Sin transacciones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Esta clase autónoma pide relacionar el caso con decisiones del propio PI.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Un caso real «bonito» sin amarre a VetCare cumple el entregable.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Salida esperada del análisis: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resumen de noticias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3 lecciones + impacto concreto en su VetCare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emojis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Borrar scripts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Incidentes de datos (fugas, inconsistencias) motivan controles que ya vieron en el curso.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Nombre el caso analizado y 1 riesgo que también tiene VetCare.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¿Qué cambio harán en su PI por esa lección (artefacto concreto)?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