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Ejecutar un contenedor en lab de navegador (sin Docker Desktop obligatorio).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bitácora + captura.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bitácora de 5 comandos con la salida real + captura del lab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Killercoda · alterna si no carga: LabEx Docker Playground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Recorrer el diagrama de las dos pilas, de abajo hacia arriba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13]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terminos se confunden de forma sistematica y conviene fijarlos con una sola analogia.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r>
        <w:rPr>
          <w:b/>
          <w:color w:val="4A4A49"/>
          <w:sz w:val="22"/>
        </w:rPr>
        <w:t>[Slide 15]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Primer ejemplo: el stub de la API de CloudLite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r>
        <w:rPr>
          <w:b/>
          <w:color w:val="4A4A49"/>
          <w:sz w:val="22"/>
        </w:rPr>
        <w:t>[Slide 17] Primer ejemplo: el stub de la API de CloudLite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Preguntas frecuentes y cierre conceptual ()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24] Preguntas frecuentes y cierre conceptual () (2/4)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y cierre conceptual ()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26] Preguntas frecuentes y cierre conceptual () (4/4)</w:t>
      </w:r>
      <w:r>
        <w:rPr>
          <w:b w:val="0"/>
          <w:color w:val="4A4A49"/>
          <w:sz w:val="22"/>
        </w:rPr>
        <w:t xml:space="preserve"> — 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Lab en navegador (pasos demo)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bitácora de 5 comandos con la salida real + captura del lab.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Lab en navegador (pasos demo)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Killercoda · alterna si no carga: LabEx Docker Playground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va en la fila 2 de la bitacora, pegado, no descrito».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Killercoda · alterna si no carga: LabEx Docker Playground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