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GitHub Actions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cuatro preguntas: 10 puntos el contenido completo del ci.yml, 5 explicar que hace de verdad la construccion y la prueba y con que condicion el pipeline debe fallar, 4 distinguir CI de CD y ubicar hasta donde llego el propio trabajo, y 6 la tabla de senales de monitoreo con umbral.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Entrega continua y despliegue continuo: la sigla CD es ambigua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Entrega continua significa que cada cambio que pasa la validacion queda listo para desplegarse, empaquetado y probado, pero un humano decide cuando se aprieta el boton.</w:t>
      </w:r>
    </w:p>
    <w:p>
      <w:pPr>
        <w:pStyle w:val="ListBullet2"/>
      </w:pPr>
      <w:r>
        <w:rPr>
          <w:b w:val="0"/>
          <w:color w:val="4A4A49"/>
          <w:sz w:val="22"/>
        </w:rPr>
        <w:t>El pipeline llega hasta «listo para desplegar» y la etapa final imprime un mensaje y publica un artefacto en lugar de subir a un servidor real.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r>
        <w:rPr>
          <w:b/>
          <w:color w:val="4A4A49"/>
          <w:sz w:val="22"/>
        </w:rPr>
        <w:t>[Slide 10] GitHub Actions en cinco palabras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Su vocabulario tiene cinco palabras.</w:t>
      </w:r>
    </w:p>
    <w:p>
      <w:r>
        <w:rPr>
          <w:b/>
          <w:color w:val="4A4A49"/>
          <w:sz w:val="22"/>
        </w:rPr>
        <w:t>[Slide 11]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Los tres bloques que la pregunta 7 califica,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Los tres bloques que la pregunta 7 califica, y el orden de los pasos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Monitorear y observar: la segunda mitad cambia de lado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apoya en tres tipos de senal.</w:t>
      </w:r>
    </w:p>
    <w:p>
      <w:r>
        <w:rPr>
          <w:b/>
          <w:color w:val="4A4A49"/>
          <w:sz w:val="22"/>
        </w:rPr>
        <w:t>[Slide 15]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Las cuatro senales de oro, con definicion operativa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17] Las cuatro senales de oro, con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La tabla de senales de la pregunta 10, con sus tres columnas exactas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«Medimos la latencia» no permite decidir nada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pPr>
        <w:pStyle w:val="ListBullet2"/>
      </w:pPr>
      <w:r>
        <w:rPr>
          <w:b w:val="0"/>
          <w:color w:val="4A4A49"/>
          <w:sz w:val="22"/>
        </w:rPr>
        <w:t>Ahi entra la optimizacion de la segunda mitad del tema: paginar, con veinte a cincuenta elementos por pagina, porque un endpoint que devuelve cincuenta mil registros es problema de latencia y de memoria; indexar la columna por la que se filtra, porque sin indice el motor recorre la tabla completa; cachear lecturas repetidas, donde una tasa de acierto del 90 por ciento significa que nueve de cada diez lecturas no llegan a la base; y limitar la tasa de peticiones, el control de denegacion de servicio de la Clase 6.</w:t>
      </w:r>
    </w:p>
    <w:p>
      <w:r>
        <w:rPr>
          <w:b/>
          <w:color w:val="4A4A49"/>
          <w:sz w:val="22"/>
        </w:rPr>
        <w:t>[Slide 19] La tabla de senales de la pregunta 10, con sus tres columnas exactas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workflow se dispara en push y en pull_request.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condicion de fallo: la pregunta que separa un CI de una decoracion verde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compila o se instala.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ejecuta en la prueba y que comprueba exactamente.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aparece en diez segundos, el pipeline no valida nada todavia.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una sola prueba que verifique que el endpoint /health responde 200 detecta la clase de error mas costosa en operacion, que la aplicacion ya no arranca; y con eso la condicion de fallo se escribe sola: el check sale rojo si /health deja de responder 200, si falta una dependencia declarada o si el docker build no compila.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Donde se ejecuta de verdad la politica de secretos de la Clase 6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valores sensibles se guardan en el repositorio bajo Settings, Secrets and variables, Actions; el workflow los referencia por nombre y la plataforma los inyecta como variables de entorno solo durante la corrida.</w:t>
      </w:r>
    </w:p>
    <w:p>
      <w:pPr>
        <w:pStyle w:val="ListBullet2"/>
      </w:pPr>
      <w:r>
        <w:rPr>
          <w:b w:val="0"/>
          <w:color w:val="4A4A49"/>
          <w:sz w:val="22"/>
        </w:rPr>
        <w:t>Dos detalles evitan sustos.</w:t>
      </w:r>
    </w:p>
    <w:p>
      <w:r>
        <w:rPr>
          <w:b/>
          <w:color w:val="4A4A49"/>
          <w:sz w:val="22"/>
        </w:rPr>
        <w:t>[Slide 24] Donde se ejecuta de verdad la politica de secretos de la Clase 6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que aparecen todos los semestres.</w:t>
      </w:r>
    </w:p>
    <w:p>
      <w:pPr>
        <w:pStyle w:val="ListBullet2"/>
      </w:pPr>
      <w:r>
        <w:rPr>
          <w:b w:val="0"/>
          <w:color w:val="4A4A49"/>
          <w:sz w:val="22"/>
        </w:rPr>
        <w:t>Un umbral justificado asi vale, aunque despues la medicion lo corrija.</w:t>
      </w:r>
    </w:p>
    <w:p>
      <w:r>
        <w:rPr>
          <w:b/>
          <w:color w:val="4A4A49"/>
          <w:sz w:val="22"/>
        </w:rPr>
        <w:t>[Slide 26] Preguntas frecuentes del grupo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(1/2)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8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29]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27]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GitHub Actions · Google Docs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30]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32]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GitHub Actions · Google Docs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