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No hay examen final escrito en este curso.</w:t>
      </w:r>
      <w:r>
        <w:rPr>
          <w:b w:val="0"/>
          <w:i/>
          <w:color w:val="4A4A49"/>
          <w:sz w:val="21"/>
        </w:rPr>
        <w:t xml:space="preserve"> El 40 % del corte 3 se reparte en exposición final 15 % (Clase 15) + </w:t>
      </w:r>
      <w:r>
        <w:rPr>
          <w:b/>
          <w:i/>
          <w:color w:val="4A4A49"/>
          <w:sz w:val="21"/>
        </w:rPr>
        <w:t>informe final 20 % (hoy)</w:t>
      </w:r>
      <w:r>
        <w:rPr>
          <w:b w:val="0"/>
          <w:i/>
          <w:color w:val="4A4A49"/>
          <w:sz w:val="21"/>
        </w:rPr>
        <w:t xml:space="preserve"> + asistencia 5 %. El informe </w:t>
      </w:r>
      <w:r>
        <w:rPr>
          <w:b/>
          <w:i/>
          <w:color w:val="4A4A49"/>
          <w:sz w:val="21"/>
        </w:rPr>
        <w:t>se entrega dentro de la clase</w:t>
      </w:r>
      <w:r>
        <w:rPr>
          <w:b w:val="0"/>
          <w:i/>
          <w:color w:val="4A4A49"/>
          <w:sz w:val="21"/>
        </w:rPr>
        <w:t>: se arma, se revisa con la lista de verificación y se sube antes de terminar la sesión.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pago de haber escrito en cada sesión - diapositiva 4</w:t>
      </w:r>
    </w:p>
    <w:p>
      <w:r>
        <w:rPr>
          <w:b w:val="0"/>
          <w:color w:val="4A4A49"/>
          <w:sz w:val="22"/>
        </w:rPr>
        <w:t>Proyectado en la lamina «La pregunta de entrada: el pago de haber escrito en cada sesión (1/2)» (4 vinetas).</w:t>
      </w:r>
    </w:p>
    <w:p>
      <w:pPr>
        <w:pStyle w:val="ListBullet"/>
      </w:pPr>
      <w:r>
        <w:rPr>
          <w:b w:val="0"/>
          <w:color w:val="4A4A49"/>
          <w:sz w:val="22"/>
        </w:rPr>
        <w:t xml:space="preserve">Vale la pena detenerse ahí treinta segundos, porque es una de las lecciones más transferibles del curso: </w:t>
      </w:r>
      <w:r>
        <w:rPr>
          <w:b/>
          <w:color w:val="4A4A49"/>
          <w:sz w:val="22"/>
        </w:rPr>
        <w:t>el informe no se escribió hoy, se escribió en dieciséis sesiones.</w:t>
      </w:r>
      <w:r>
        <w:rPr>
          <w:b w:val="0"/>
          <w:color w:val="4A4A49"/>
          <w:sz w:val="22"/>
        </w:rPr>
        <w:t xml:space="preserve"> La ficha del problema de la sesión 6 es la sección 2; la matriz de la 8 es la sección 6; los hallazgos de la 12 son la sección 8.</w:t>
      </w:r>
    </w:p>
    <w:p>
      <w:pPr>
        <w:spacing w:before="200" w:after="60"/>
      </w:pPr>
      <w:r>
        <w:rPr>
          <w:b/>
          <w:color w:val="1A1C1D"/>
          <w:sz w:val="32"/>
        </w:rPr>
        <w:t>Las doce secciones, y el orden correcto para armarlas - diapositivas 5, 6 y 7</w:t>
      </w:r>
    </w:p>
    <w:p>
      <w:r>
        <w:rPr>
          <w:b w:val="0"/>
          <w:color w:val="4A4A49"/>
          <w:sz w:val="22"/>
        </w:rPr>
        <w:t>Proyectado en la lamina «La pregunta de entrada: el pago de haber escrito en cada sesión (2/2)» (2 vinetas).</w:t>
      </w:r>
    </w:p>
    <w:p>
      <w:pPr>
        <w:spacing w:before="200" w:after="60"/>
      </w:pPr>
      <w:r>
        <w:rPr>
          <w:b/>
          <w:color w:val="1A1C1D"/>
          <w:sz w:val="32"/>
        </w:rPr>
        <w:t>La galería, y por qué socializar no es exponer otra vez - diapositiva 8</w:t>
      </w:r>
    </w:p>
    <w:p>
      <w:r>
        <w:rPr>
          <w:b w:val="0"/>
          <w:color w:val="4A4A49"/>
          <w:sz w:val="22"/>
        </w:rPr>
        <w:t>Proyectado en la lamina «Las doce secciones, y el orden correcto para armarlas (1/3)» (5 vinetas).</w:t>
      </w:r>
    </w:p>
    <w:p>
      <w:pPr>
        <w:pStyle w:val="ListBullet"/>
      </w:pPr>
      <w:r>
        <w:rPr>
          <w:b w:val="0"/>
          <w:color w:val="4A4A49"/>
          <w:sz w:val="22"/>
        </w:rPr>
        <w:t xml:space="preserve">Sobre la </w:t>
      </w:r>
      <w:r>
        <w:rPr>
          <w:b/>
          <w:color w:val="4A4A49"/>
          <w:sz w:val="22"/>
        </w:rPr>
        <w:t>sección 11, la declaración del uso de IA</w:t>
      </w:r>
      <w:r>
        <w:rPr>
          <w:b w:val="0"/>
          <w:color w:val="4A4A49"/>
          <w:sz w:val="22"/>
        </w:rPr>
        <w:t>: es un cuarto de página y es la que más se olvida.</w:t>
      </w:r>
    </w:p>
    <w:p>
      <w:pPr>
        <w:spacing w:before="200" w:after="60"/>
      </w:pPr>
      <w:r>
        <w:rPr>
          <w:b/>
          <w:color w:val="1A1C1D"/>
          <w:sz w:val="32"/>
        </w:rPr>
        <w:t>Autoevaluación y coevaluación: cómo evitar que sea un trámite - diapositiva 9</w:t>
      </w:r>
    </w:p>
    <w:p>
      <w:r>
        <w:rPr>
          <w:b w:val="0"/>
          <w:color w:val="4A4A49"/>
          <w:sz w:val="22"/>
        </w:rPr>
        <w:t>Proyectado en la lamina «Las doce secciones, y el orden correcto para armarlas (2/3)» (5 vinetas).</w:t>
      </w:r>
    </w:p>
    <w:p>
      <w:pPr>
        <w:spacing w:before="200" w:after="60"/>
      </w:pPr>
      <w:r>
        <w:rPr>
          <w:b/>
          <w:color w:val="1A1C1D"/>
          <w:sz w:val="32"/>
        </w:rPr>
        <w:t>El cierre del curso: veinte minutos que no son un discurso - diapositiva 10</w:t>
      </w:r>
    </w:p>
    <w:p>
      <w:r>
        <w:rPr>
          <w:b w:val="0"/>
          <w:color w:val="4A4A49"/>
          <w:sz w:val="22"/>
        </w:rPr>
        <w:t>Proyectado en la lamina «Las doce secciones, y el orden correcto para armarlas (3/3)»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La pregunta de entrada: el pago de haber escrito en cada sesión (1/2)</w:t>
      </w:r>
    </w:p>
    <w:p>
      <w:pPr>
        <w:pStyle w:val="ListNumber"/>
      </w:pPr>
      <w:r>
        <w:rPr>
          <w:b w:val="0"/>
          <w:color w:val="4A4A49"/>
          <w:sz w:val="22"/>
        </w:rPr>
        <w:t>La pregunta de entrada: el pago de haber escrito en cada sesión (2/2)</w:t>
      </w:r>
    </w:p>
    <w:p>
      <w:pPr>
        <w:pStyle w:val="ListNumber"/>
      </w:pPr>
      <w:r>
        <w:rPr>
          <w:b w:val="0"/>
          <w:color w:val="4A4A49"/>
          <w:sz w:val="22"/>
        </w:rPr>
        <w:t>Las doce secciones, y el orden correcto para armarlas (1/3)</w:t>
      </w:r>
    </w:p>
    <w:p>
      <w:pPr>
        <w:pStyle w:val="ListNumber"/>
      </w:pPr>
      <w:r>
        <w:rPr>
          <w:b w:val="0"/>
          <w:color w:val="4A4A49"/>
          <w:sz w:val="22"/>
        </w:rPr>
        <w:t>Las doce secciones, y el orden correcto para armarlas (2/3)</w:t>
      </w:r>
    </w:p>
    <w:p>
      <w:pPr>
        <w:pStyle w:val="ListNumber"/>
      </w:pPr>
      <w:r>
        <w:rPr>
          <w:b w:val="0"/>
          <w:color w:val="4A4A49"/>
          <w:sz w:val="22"/>
        </w:rPr>
        <w:t>Las doce secciones, y el orden correcto para armarlas (3/3)</w:t>
      </w:r>
    </w:p>
    <w:p>
      <w:pPr>
        <w:pStyle w:val="ListNumber"/>
      </w:pPr>
      <w:r>
        <w:rPr>
          <w:b w:val="0"/>
          <w:color w:val="4A4A49"/>
          <w:sz w:val="22"/>
        </w:rPr>
        <w:t>La galería, y por qué socializar no es exponer otra vez (1/2)</w:t>
      </w:r>
    </w:p>
    <w:p>
      <w:pPr>
        <w:pStyle w:val="ListNumber"/>
      </w:pPr>
      <w:r>
        <w:rPr>
          <w:b w:val="0"/>
          <w:color w:val="4A4A49"/>
          <w:sz w:val="22"/>
        </w:rPr>
        <w:t>La galería, y por qué socializar no es exponer otra vez (2/2)</w:t>
      </w:r>
    </w:p>
    <w:p>
      <w:pPr>
        <w:pStyle w:val="ListNumber"/>
      </w:pPr>
      <w:r>
        <w:rPr>
          <w:b w:val="0"/>
          <w:color w:val="4A4A49"/>
          <w:sz w:val="22"/>
        </w:rPr>
        <w:t>Autoevaluación y coevaluación: cómo evitar que sea un trámite (1/2)</w:t>
      </w:r>
    </w:p>
    <w:p>
      <w:pPr>
        <w:pStyle w:val="ListNumber"/>
      </w:pPr>
      <w:r>
        <w:rPr>
          <w:b w:val="0"/>
          <w:color w:val="4A4A49"/>
          <w:sz w:val="22"/>
        </w:rPr>
        <w:t>Autoevaluación y coevaluación: cómo evitar que sea un trámite (2/2)</w:t>
      </w:r>
    </w:p>
    <w:p>
      <w:pPr>
        <w:pStyle w:val="ListNumber"/>
      </w:pPr>
      <w:r>
        <w:rPr>
          <w:b w:val="0"/>
          <w:color w:val="4A4A49"/>
          <w:sz w:val="22"/>
        </w:rPr>
        <w:t>El cierre del curso: veinte minutos que no son un discurso (1/2)</w:t>
      </w:r>
    </w:p>
    <w:p>
      <w:pPr>
        <w:pStyle w:val="ListNumber"/>
      </w:pPr>
      <w:r>
        <w:rPr>
          <w:b w:val="0"/>
          <w:color w:val="4A4A49"/>
          <w:sz w:val="22"/>
        </w:rPr>
        <w:t>El cierre del curso: veinte minutos que no son un discurso (2/2)</w:t>
      </w:r>
    </w:p>
    <w:p>
      <w:pPr>
        <w:pStyle w:val="ListNumber"/>
      </w:pPr>
      <w:r>
        <w:rPr>
          <w:b w:val="0"/>
          <w:color w:val="4A4A49"/>
          <w:sz w:val="22"/>
        </w:rPr>
        <w:t>Taller de hoy: Informe final y autoevaluación</w:t>
      </w:r>
    </w:p>
    <w:p>
      <w:pPr>
        <w:pStyle w:val="ListNumber"/>
      </w:pPr>
      <w:r>
        <w:rPr>
          <w:b w:val="0"/>
          <w:color w:val="4A4A49"/>
          <w:sz w:val="22"/>
        </w:rPr>
        <w:t>Cómo se expone en 3 minutos</w:t>
      </w:r>
    </w:p>
    <w:p>
      <w:pPr>
        <w:pStyle w:val="ListNumber"/>
      </w:pPr>
      <w:r>
        <w:rPr>
          <w:b w:val="0"/>
          <w:color w:val="4A4A49"/>
          <w:sz w:val="22"/>
        </w:rPr>
        <w:t>Cierre del curso</w:t>
      </w:r>
    </w:p>
    <w:p>
      <w:pPr>
        <w:pStyle w:val="ListNumber"/>
      </w:pPr>
      <w:r>
        <w:rPr>
          <w:b w:val="0"/>
          <w:color w:val="4A4A49"/>
          <w:sz w:val="22"/>
        </w:rPr>
        <w:t>Cierre · Gracias · Introducción a la Ingeniería</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9]</w:t>
      </w:r>
    </w:p>
    <w:p>
      <w:pPr>
        <w:pStyle w:val="ListBullet"/>
      </w:pPr>
      <w:r>
        <w:rPr>
          <w:b/>
          <w:color w:val="4A4A49"/>
          <w:sz w:val="22"/>
        </w:rPr>
        <w:t>3 min</w:t>
      </w:r>
      <w:r>
        <w:rPr>
          <w:b w:val="0"/>
          <w:color w:val="4A4A49"/>
          <w:sz w:val="22"/>
        </w:rPr>
        <w:t xml:space="preserve"> · Explique el formato [Slide 9].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10][Slide 13][Slide 14]</w:t>
      </w:r>
    </w:p>
    <w:p>
      <w:r>
        <w:rPr>
          <w:b/>
          <w:color w:val="4A4A49"/>
          <w:sz w:val="22"/>
        </w:rPr>
        <w:t>[Slide 10]</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Dudas frecuentes del estudiante</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Notas operativas</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