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4: Principios éticos en la Ingeniería</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Microsoft Teams · Sesión 3 de 11 (sesión doble junto con la Clase 5) · corresponde al tema 4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Microsoft Teams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1</w:t>
      </w:r>
      <w:r>
        <w:rPr>
          <w:b w:val="0"/>
          <w:color w:val="4A4A49"/>
          <w:sz w:val="22"/>
        </w:rPr>
        <w:t xml:space="preserve"> (30%) · RAA: </w:t>
      </w:r>
      <w:r>
        <w:rPr>
          <w:b/>
          <w:color w:val="4A4A49"/>
          <w:sz w:val="22"/>
        </w:rPr>
        <w:t>RAA3</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spacing w:before="200" w:after="60"/>
      </w:pPr>
      <w:r>
        <w:rPr>
          <w:b/>
          <w:color w:val="1A1C1D"/>
          <w:sz w:val="32"/>
        </w:rPr>
        <w:t>Objetivos de la clase</w:t>
      </w:r>
    </w:p>
    <w:p>
      <w:pPr>
        <w:pStyle w:val="ListBullet"/>
      </w:pPr>
      <w:r>
        <w:rPr>
          <w:b w:val="0"/>
          <w:color w:val="4A4A49"/>
          <w:sz w:val="22"/>
        </w:rPr>
        <w:t xml:space="preserve">Distinguir un </w:t>
      </w:r>
      <w:r>
        <w:rPr>
          <w:b/>
          <w:color w:val="4A4A49"/>
          <w:sz w:val="22"/>
        </w:rPr>
        <w:t>problema ético</w:t>
      </w:r>
      <w:r>
        <w:rPr>
          <w:b w:val="0"/>
          <w:color w:val="4A4A49"/>
          <w:sz w:val="22"/>
        </w:rPr>
        <w:t xml:space="preserve"> de un problema técnico y de un problema legal.</w:t>
      </w:r>
    </w:p>
    <w:p>
      <w:pPr>
        <w:pStyle w:val="ListBullet"/>
      </w:pPr>
      <w:r>
        <w:rPr>
          <w:b w:val="0"/>
          <w:color w:val="4A4A49"/>
          <w:sz w:val="22"/>
        </w:rPr>
        <w:t xml:space="preserve">Usar los principios del </w:t>
      </w:r>
      <w:r>
        <w:rPr>
          <w:b/>
          <w:color w:val="4A4A49"/>
          <w:sz w:val="22"/>
        </w:rPr>
        <w:t>código de ética de ACM/IEEE</w:t>
      </w:r>
      <w:r>
        <w:rPr>
          <w:b w:val="0"/>
          <w:color w:val="4A4A49"/>
          <w:sz w:val="22"/>
        </w:rPr>
        <w:t xml:space="preserve"> y de la </w:t>
      </w:r>
      <w:r>
        <w:rPr>
          <w:b/>
          <w:color w:val="4A4A49"/>
          <w:sz w:val="22"/>
        </w:rPr>
        <w:t>Ley 842 de 2003</w:t>
      </w:r>
      <w:r>
        <w:rPr>
          <w:b w:val="0"/>
          <w:color w:val="4A4A49"/>
          <w:sz w:val="22"/>
        </w:rPr>
        <w:t xml:space="preserve"> para juzgar un caso.</w:t>
      </w:r>
    </w:p>
    <w:p>
      <w:pPr>
        <w:pStyle w:val="ListBullet"/>
      </w:pPr>
      <w:r>
        <w:rPr>
          <w:b w:val="0"/>
          <w:color w:val="4A4A49"/>
          <w:sz w:val="22"/>
        </w:rPr>
        <w:t xml:space="preserve">Nombrar </w:t>
      </w:r>
      <w:r>
        <w:rPr>
          <w:b/>
          <w:color w:val="4A4A49"/>
          <w:sz w:val="22"/>
        </w:rPr>
        <w:t>tres normas colombianas</w:t>
      </w:r>
      <w:r>
        <w:rPr>
          <w:b w:val="0"/>
          <w:color w:val="4A4A49"/>
          <w:sz w:val="22"/>
        </w:rPr>
        <w:t xml:space="preserve"> que obligan al ingeniero de sistemas, y qué exige cada una.</w:t>
      </w:r>
    </w:p>
    <w:p>
      <w:pPr>
        <w:pStyle w:val="ListBullet"/>
      </w:pPr>
      <w:r>
        <w:rPr>
          <w:b w:val="0"/>
          <w:color w:val="4A4A49"/>
          <w:sz w:val="22"/>
        </w:rPr>
        <w:t xml:space="preserve">Identificar en un caso real </w:t>
      </w:r>
      <w:r>
        <w:rPr>
          <w:b/>
          <w:color w:val="4A4A49"/>
          <w:sz w:val="22"/>
        </w:rPr>
        <w:t>el momento en que se pudo parar</w:t>
      </w:r>
      <w:r>
        <w:rPr>
          <w:b w:val="0"/>
          <w:color w:val="4A4A49"/>
          <w:sz w:val="22"/>
        </w:rPr>
        <w:t xml:space="preserve"> y quién tenía que hablar.</w:t>
      </w:r>
    </w:p>
    <w:p>
      <w:pPr>
        <w:spacing w:before="200" w:after="60"/>
      </w:pPr>
      <w:r>
        <w:rPr>
          <w:b/>
          <w:color w:val="1A1C1D"/>
          <w:sz w:val="32"/>
        </w:rPr>
        <w:t>Hoy avanzamos el proyecto en…</w:t>
      </w:r>
    </w:p>
    <w:p>
      <w:r>
        <w:rPr>
          <w:b/>
          <w:color w:val="4A4A49"/>
          <w:sz w:val="22"/>
        </w:rPr>
        <w:t>Identificar a quién puede perjudicar el proyecto del equipo y qué norma colombiana lo obliga a cuidar eso — sobre todo si va a manejar datos de personas</w:t>
      </w:r>
    </w:p>
    <w:p>
      <w:r>
        <w:rPr>
          <w:b/>
          <w:color w:val="4A4A49"/>
          <w:sz w:val="22"/>
        </w:rPr>
        <w:t>Entregable concreto:</w:t>
      </w:r>
      <w:r>
        <w:rPr>
          <w:b w:val="0"/>
          <w:color w:val="4A4A49"/>
          <w:sz w:val="22"/>
        </w:rPr>
        <w:t xml:space="preserve"> un acta de comité de cinco bloques en el documento del equipo, con al menos un numeral de código o de norma citado literalmente</w:t>
      </w:r>
    </w:p>
    <w:p>
      <w:r>
        <w:rPr>
          <w:b/>
          <w:color w:val="4A4A49"/>
          <w:sz w:val="22"/>
        </w:rPr>
        <w:t>Herramientas de esta sesión:</w:t>
      </w:r>
      <w:r>
        <w:rPr>
          <w:b w:val="0"/>
          <w:color w:val="4A4A49"/>
          <w:sz w:val="22"/>
        </w:rPr>
        <w:t xml:space="preserve"> Google Drive (Docs y Slides) · Padlet</w:t>
      </w:r>
    </w:p>
    <w:p>
      <w:pPr>
        <w:ind w:left="432"/>
        <w:shd w:val="clear" w:fill="F7F7F8"/>
      </w:pPr>
      <w:r>
        <w:rPr>
          <w:b w:val="0"/>
          <w:i/>
          <w:color w:val="4A4A49"/>
          <w:sz w:val="21"/>
        </w:rPr>
        <w:t xml:space="preserve">Hoy </w:t>
      </w:r>
      <w:r>
        <w:rPr>
          <w:b/>
          <w:i/>
          <w:color w:val="4A4A49"/>
          <w:sz w:val="21"/>
        </w:rPr>
        <w:t>no se usa asistente de IA</w:t>
      </w:r>
      <w:r>
        <w:rPr>
          <w:b w:val="0"/>
          <w:i/>
          <w:color w:val="4A4A49"/>
          <w:sz w:val="21"/>
        </w:rPr>
        <w:t xml:space="preserve">, y la razón es del tema: un caso ético se juzga leyendo el código de ética y los hechos, no pidiéndole una opinión a una herramienta que no responde por ella. El texto del código de ética de ACM/IEEE y el de la Ley 842 de 2003 se comparten en la carpeta del curso y </w:t>
      </w:r>
      <w:r>
        <w:rPr>
          <w:b/>
          <w:i/>
          <w:color w:val="4A4A49"/>
          <w:sz w:val="21"/>
        </w:rPr>
        <w:t>hay que citar el numeral</w:t>
      </w:r>
      <w:r>
        <w:rPr>
          <w:b w:val="0"/>
          <w:i/>
          <w:color w:val="4A4A49"/>
          <w:sz w:val="21"/>
        </w:rPr>
        <w:t>, no resumirlo de memoria.</w:t>
      </w:r>
    </w:p>
    <w:p>
      <w:pPr>
        <w:spacing w:before="200" w:after="60"/>
      </w:pPr>
      <w:r>
        <w:rPr>
          <w:b/>
          <w:color w:val="1A1C1D"/>
          <w:sz w:val="32"/>
        </w:rPr>
        <w:t>Fundamento teórico para el docente</w:t>
      </w:r>
    </w:p>
    <w:p>
      <w:r>
        <w:rPr>
          <w:b w:val="0"/>
          <w:color w:val="4A4A49"/>
          <w:sz w:val="22"/>
        </w:rPr>
        <w:t xml:space="preserve">Esta sección está escrita para dictar la clase </w:t>
      </w:r>
      <w:r>
        <w:rPr>
          <w:b/>
          <w:color w:val="4A4A49"/>
          <w:sz w:val="22"/>
        </w:rPr>
        <w:t>sin consultar otra fuente</w:t>
      </w:r>
      <w:r>
        <w:rPr>
          <w:b w:val="0"/>
          <w:color w:val="4A4A49"/>
          <w:sz w:val="22"/>
        </w:rPr>
        <w:t>, y va dividida por diapositiva: cada bloque dice a qué diapositiva corresponde.</w:t>
      </w:r>
    </w:p>
    <w:p>
      <w:pPr>
        <w:spacing w:before="200" w:after="60"/>
      </w:pPr>
      <w:r>
        <w:rPr>
          <w:b/>
          <w:color w:val="1A1C1D"/>
          <w:sz w:val="32"/>
        </w:rPr>
        <w:t>La pregunta de entrada: el ingeniero que fue a la cárcel - diapositiva 4</w:t>
      </w:r>
    </w:p>
    <w:p>
      <w:r>
        <w:rPr>
          <w:b w:val="0"/>
          <w:color w:val="4A4A49"/>
          <w:sz w:val="22"/>
        </w:rPr>
        <w:t>Proyectado en la lamina «La pregunta de entrada: el ingeniero que fue a la cárcel (1/2)» (4 vinetas).</w:t>
      </w:r>
    </w:p>
    <w:p>
      <w:pPr>
        <w:pStyle w:val="ListBullet"/>
      </w:pPr>
      <w:r>
        <w:rPr>
          <w:b w:val="0"/>
          <w:color w:val="4A4A49"/>
          <w:sz w:val="22"/>
        </w:rPr>
        <w:t>Un ingeniero de Volkswagen escribió el software que detectaba cuándo el carro estaba en la prueba de emisiones para bajar los contaminantes solo durante el examen.</w:t>
      </w:r>
    </w:p>
    <w:p>
      <w:pPr>
        <w:spacing w:before="200" w:after="60"/>
      </w:pPr>
      <w:r>
        <w:rPr>
          <w:b/>
          <w:color w:val="1A1C1D"/>
          <w:sz w:val="32"/>
        </w:rPr>
        <w:t>Qué es la ética en una profesión y qué no es - diapositiva 5</w:t>
      </w:r>
    </w:p>
    <w:p>
      <w:r>
        <w:rPr>
          <w:b w:val="0"/>
          <w:color w:val="4A4A49"/>
          <w:sz w:val="22"/>
        </w:rPr>
        <w:t>Proyectado en la lamina «La pregunta de entrada: el ingeniero que fue a la cárcel (2/2)» (3 vinetas).</w:t>
      </w:r>
    </w:p>
    <w:p>
      <w:pPr>
        <w:spacing w:before="200" w:after="60"/>
      </w:pPr>
      <w:r>
        <w:rPr>
          <w:b/>
          <w:color w:val="1A1C1D"/>
          <w:sz w:val="32"/>
        </w:rPr>
        <w:t>Los códigos y las tres normas colombianas que hay que saber nombrar - diapositiva 6</w:t>
      </w:r>
    </w:p>
    <w:p>
      <w:r>
        <w:rPr>
          <w:b w:val="0"/>
          <w:color w:val="4A4A49"/>
          <w:sz w:val="22"/>
        </w:rPr>
        <w:t>Proyectado en la lamina «Qué es la ética en una profesión y qué no es (1/2)» (6 vinetas).</w:t>
      </w:r>
    </w:p>
    <w:p>
      <w:pPr>
        <w:pStyle w:val="ListBullet"/>
      </w:pPr>
      <w:r>
        <w:rPr>
          <w:b w:val="0"/>
          <w:color w:val="4A4A49"/>
          <w:sz w:val="22"/>
        </w:rPr>
        <w:t>Un ingeniero con excelentes intenciones que no preguntó a quién afecta su sistema hizo algo mal, y el resultado no mejora por su buena voluntad.</w:t>
      </w:r>
    </w:p>
    <w:p>
      <w:pPr>
        <w:pStyle w:val="ListBullet"/>
      </w:pPr>
      <w:r>
        <w:rPr>
          <w:b w:val="0"/>
          <w:color w:val="4A4A49"/>
          <w:sz w:val="22"/>
        </w:rPr>
        <w:t xml:space="preserve">Al revés, un ingeniero que detecta un riesgo y lo escribe está actuando bien aunque el proyecto igual salga mal. </w:t>
      </w:r>
      <w:r>
        <w:rPr>
          <w:b/>
          <w:color w:val="4A4A49"/>
          <w:sz w:val="22"/>
        </w:rPr>
        <w:t>La segunda: no es un tema de opinión.</w:t>
      </w:r>
      <w:r>
        <w:rPr>
          <w:b w:val="0"/>
          <w:color w:val="4A4A49"/>
          <w:sz w:val="22"/>
        </w:rPr>
        <w:t xml:space="preserve"> Esta es la que más rinde en clase, porque el estudiante llega convencido de que en ética «cada uno piensa distinto».</w:t>
      </w:r>
    </w:p>
    <w:p>
      <w:pPr>
        <w:pStyle w:val="ListBullet"/>
      </w:pPr>
      <w:r>
        <w:rPr>
          <w:b w:val="0"/>
          <w:color w:val="4A4A49"/>
          <w:sz w:val="22"/>
        </w:rPr>
        <w:t>Existen códigos escritos, con principios numerados, que uno puede citar como se cita un artículo de una norma.</w:t>
      </w:r>
    </w:p>
    <w:p>
      <w:pPr>
        <w:pStyle w:val="ListBullet"/>
      </w:pPr>
      <w:r>
        <w:rPr>
          <w:b w:val="0"/>
          <w:color w:val="4A4A49"/>
          <w:sz w:val="22"/>
        </w:rPr>
        <w:t>La ley y la ética se cruzan pero no coinciden, y el ingeniero tiene que mirar las dos.</w:t>
      </w:r>
    </w:p>
    <w:p>
      <w:pPr>
        <w:pStyle w:val="ListBullet"/>
      </w:pPr>
      <w:r>
        <w:rPr>
          <w:b w:val="0"/>
          <w:color w:val="4A4A49"/>
          <w:sz w:val="22"/>
        </w:rPr>
        <w:t xml:space="preserve">Una cuarta idea, que es la que más les sirve: </w:t>
      </w:r>
      <w:r>
        <w:rPr>
          <w:b/>
          <w:color w:val="4A4A49"/>
          <w:sz w:val="22"/>
        </w:rPr>
        <w:t>el momento de la ética es el momento de decidir, y casi siempre es temprano</w:t>
      </w:r>
      <w:r>
        <w:rPr>
          <w:b w:val="0"/>
          <w:color w:val="4A4A49"/>
          <w:sz w:val="22"/>
        </w:rPr>
        <w:t>.</w:t>
      </w:r>
    </w:p>
    <w:p>
      <w:pPr>
        <w:spacing w:before="200" w:after="60"/>
      </w:pPr>
      <w:r>
        <w:rPr>
          <w:b/>
          <w:color w:val="1A1C1D"/>
          <w:sz w:val="32"/>
        </w:rPr>
        <w:t>Los cuatro casos: qué contar de cada uno y cuál es el momento de parar - diapositiva 7</w:t>
      </w:r>
    </w:p>
    <w:p>
      <w:r>
        <w:rPr>
          <w:b w:val="0"/>
          <w:color w:val="4A4A49"/>
          <w:sz w:val="22"/>
        </w:rPr>
        <w:t>Proyectado en la lamina «Qué es la ética en una profesión y qué no es (2/2)» (5 vinetas).</w:t>
      </w:r>
    </w:p>
    <w:p>
      <w:pPr>
        <w:spacing w:before="200" w:after="60"/>
      </w:pPr>
      <w:r>
        <w:rPr>
          <w:b/>
          <w:color w:val="1A1C1D"/>
          <w:sz w:val="32"/>
        </w:rPr>
        <w:t>La defensa que no sirve y las cinco preguntas que sí - diapositivas 8 y 9</w:t>
      </w:r>
    </w:p>
    <w:p>
      <w:r>
        <w:rPr>
          <w:b w:val="0"/>
          <w:color w:val="4A4A49"/>
          <w:sz w:val="22"/>
        </w:rPr>
        <w:t>Proyectado en la lamina «Los códigos y las tres normas colombianas que hay que saber nombrar (1/3)» (5 vinetas).</w:t>
      </w:r>
    </w:p>
    <w:p>
      <w:pPr>
        <w:pStyle w:val="ListBullet"/>
      </w:pPr>
      <w:r>
        <w:rPr>
          <w:b w:val="0"/>
          <w:color w:val="4A4A49"/>
          <w:sz w:val="22"/>
        </w:rPr>
        <w:t>Eso significa que el código ya resolvió el conflicto que el estudiante cree irresoluble: si lo que pide el jefe daña al público, el código dice cuál gana.</w:t>
      </w:r>
    </w:p>
    <w:p>
      <w:pPr>
        <w:pStyle w:val="ListBullet"/>
      </w:pPr>
      <w:r>
        <w:rPr>
          <w:b w:val="0"/>
          <w:color w:val="4A4A49"/>
          <w:sz w:val="22"/>
        </w:rPr>
        <w:t xml:space="preserve">La ACM actualizó además su código general en 2018. </w:t>
      </w:r>
      <w:r>
        <w:rPr>
          <w:b/>
          <w:color w:val="4A4A49"/>
          <w:sz w:val="22"/>
        </w:rPr>
        <w:t>Ley 842 de 2003.</w:t>
      </w:r>
      <w:r>
        <w:rPr>
          <w:b w:val="0"/>
          <w:color w:val="4A4A49"/>
          <w:sz w:val="22"/>
        </w:rPr>
        <w:t xml:space="preserve"> Es el código de ética profesional de la ingeniería en Colombia y es la que aplica aquí, no las de otros países.</w:t>
      </w:r>
    </w:p>
    <w:p>
      <w:pPr>
        <w:pStyle w:val="ListBullet"/>
      </w:pPr>
      <w:r>
        <w:rPr>
          <w:b w:val="0"/>
          <w:color w:val="4A4A49"/>
          <w:sz w:val="22"/>
        </w:rPr>
        <w:t>Establece los deberes del ingeniero con la sociedad, con la profesión, con sus colegas y con sus clientes, y define las faltas y las sanciones.</w:t>
      </w:r>
    </w:p>
    <w:p>
      <w:pPr>
        <w:pStyle w:val="ListBullet"/>
      </w:pPr>
      <w:r>
        <w:rPr>
          <w:b w:val="0"/>
          <w:color w:val="4A4A49"/>
          <w:sz w:val="22"/>
        </w:rPr>
        <w:t xml:space="preserve">Los </w:t>
      </w:r>
      <w:r>
        <w:rPr>
          <w:b/>
          <w:color w:val="4A4A49"/>
          <w:sz w:val="22"/>
        </w:rPr>
        <w:t>datos sensibles</w:t>
      </w:r>
      <w:r>
        <w:rPr>
          <w:b w:val="0"/>
          <w:color w:val="4A4A49"/>
          <w:sz w:val="22"/>
        </w:rPr>
        <w:t xml:space="preserve"> —salud, biometría, orientación política, sexual o religiosa, datos de niños— tienen protección reforzada.</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4 - Principios eticos en la Ingenieria/Presentacion.pptx</w:t>
      </w:r>
      <w:r>
        <w:rPr>
          <w:b w:val="0"/>
          <w:color w:val="4A4A49"/>
          <w:sz w:val="22"/>
        </w:rPr>
        <w:t>. Las etiquetas [Slide N] del plan y las referencias del fundamento apuntan aquí.</w:t>
      </w:r>
    </w:p>
    <w:p>
      <w:pPr>
        <w:pStyle w:val="ListNumber"/>
      </w:pPr>
      <w:r>
        <w:rPr>
          <w:b w:val="0"/>
          <w:color w:val="4A4A49"/>
          <w:sz w:val="22"/>
        </w:rPr>
        <w:t>Portada · Clase 4</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Tres cosas que se confunden</w:t>
      </w:r>
    </w:p>
    <w:p>
      <w:pPr>
        <w:pStyle w:val="ListNumber"/>
      </w:pPr>
      <w:r>
        <w:rPr>
          <w:b w:val="0"/>
          <w:color w:val="4A4A49"/>
          <w:sz w:val="22"/>
        </w:rPr>
        <w:t>Los principios que sí están escritos</w:t>
      </w:r>
    </w:p>
    <w:p>
      <w:pPr>
        <w:pStyle w:val="ListNumber"/>
      </w:pPr>
      <w:r>
        <w:rPr>
          <w:b w:val="0"/>
          <w:color w:val="4A4A49"/>
          <w:sz w:val="22"/>
        </w:rPr>
        <w:t>Cuatro casos donde el software funcionó</w:t>
      </w:r>
    </w:p>
    <w:p>
      <w:pPr>
        <w:pStyle w:val="ListNumber"/>
      </w:pPr>
      <w:r>
        <w:rPr>
          <w:b w:val="0"/>
          <w:color w:val="4A4A49"/>
          <w:sz w:val="22"/>
        </w:rPr>
        <w:t>«Yo solo programé lo que me pidieron»</w:t>
      </w:r>
    </w:p>
    <w:p>
      <w:pPr>
        <w:pStyle w:val="ListNumber"/>
      </w:pPr>
      <w:r>
        <w:rPr>
          <w:b w:val="0"/>
          <w:color w:val="4A4A49"/>
          <w:sz w:val="22"/>
        </w:rPr>
        <w:t>Cinco preguntas para decidir sin ser experto</w:t>
      </w:r>
    </w:p>
    <w:p>
      <w:pPr>
        <w:pStyle w:val="ListNumber"/>
      </w:pPr>
      <w:r>
        <w:rPr>
          <w:b w:val="0"/>
          <w:color w:val="4A4A49"/>
          <w:sz w:val="22"/>
        </w:rPr>
        <w:t>La pregunta de entrada: el ingeniero que fue a la cárcel (1/2)</w:t>
      </w:r>
    </w:p>
    <w:p>
      <w:pPr>
        <w:pStyle w:val="ListNumber"/>
      </w:pPr>
      <w:r>
        <w:rPr>
          <w:b w:val="0"/>
          <w:color w:val="4A4A49"/>
          <w:sz w:val="22"/>
        </w:rPr>
        <w:t>La pregunta de entrada: el ingeniero que fue a la cárcel (2/2)</w:t>
      </w:r>
    </w:p>
    <w:p>
      <w:pPr>
        <w:pStyle w:val="ListNumber"/>
      </w:pPr>
      <w:r>
        <w:rPr>
          <w:b w:val="0"/>
          <w:color w:val="4A4A49"/>
          <w:sz w:val="22"/>
        </w:rPr>
        <w:t>Qué es la ética en una profesión y qué no es (1/2)</w:t>
      </w:r>
    </w:p>
    <w:p>
      <w:pPr>
        <w:pStyle w:val="ListNumber"/>
      </w:pPr>
      <w:r>
        <w:rPr>
          <w:b w:val="0"/>
          <w:color w:val="4A4A49"/>
          <w:sz w:val="22"/>
        </w:rPr>
        <w:t>Qué es la ética en una profesión y qué no es (2/2)</w:t>
      </w:r>
    </w:p>
    <w:p>
      <w:pPr>
        <w:pStyle w:val="ListNumber"/>
      </w:pPr>
      <w:r>
        <w:rPr>
          <w:b w:val="0"/>
          <w:color w:val="4A4A49"/>
          <w:sz w:val="22"/>
        </w:rPr>
        <w:t>Los códigos y las tres normas colombianas que hay que saber nombrar (1/3)</w:t>
      </w:r>
    </w:p>
    <w:p>
      <w:pPr>
        <w:pStyle w:val="ListNumber"/>
      </w:pPr>
      <w:r>
        <w:rPr>
          <w:b w:val="0"/>
          <w:color w:val="4A4A49"/>
          <w:sz w:val="22"/>
        </w:rPr>
        <w:t>Los códigos y las tres normas colombianas que hay que saber nombrar (2/3)</w:t>
      </w:r>
    </w:p>
    <w:p>
      <w:pPr>
        <w:pStyle w:val="ListNumber"/>
      </w:pPr>
      <w:r>
        <w:rPr>
          <w:b w:val="0"/>
          <w:color w:val="4A4A49"/>
          <w:sz w:val="22"/>
        </w:rPr>
        <w:t>Los códigos y las tres normas colombianas que hay que saber nombrar (3/3)</w:t>
      </w:r>
    </w:p>
    <w:p>
      <w:pPr>
        <w:pStyle w:val="ListNumber"/>
      </w:pPr>
      <w:r>
        <w:rPr>
          <w:b w:val="0"/>
          <w:color w:val="4A4A49"/>
          <w:sz w:val="22"/>
        </w:rPr>
        <w:t>Los cuatro casos: qué contar de cada uno y cuál es el momento de parar (1/4)</w:t>
      </w:r>
    </w:p>
    <w:p>
      <w:pPr>
        <w:pStyle w:val="ListNumber"/>
      </w:pPr>
      <w:r>
        <w:rPr>
          <w:b w:val="0"/>
          <w:color w:val="4A4A49"/>
          <w:sz w:val="22"/>
        </w:rPr>
        <w:t>Los cuatro casos: qué contar de cada uno y cuál es el momento de parar (2/4)</w:t>
      </w:r>
    </w:p>
    <w:p>
      <w:pPr>
        <w:pStyle w:val="ListNumber"/>
      </w:pPr>
      <w:r>
        <w:rPr>
          <w:b w:val="0"/>
          <w:color w:val="4A4A49"/>
          <w:sz w:val="22"/>
        </w:rPr>
        <w:t>Los cuatro casos: qué contar de cada uno y cuál es el momento de parar (3/4)</w:t>
      </w:r>
    </w:p>
    <w:p>
      <w:pPr>
        <w:pStyle w:val="ListNumber"/>
      </w:pPr>
      <w:r>
        <w:rPr>
          <w:b w:val="0"/>
          <w:color w:val="4A4A49"/>
          <w:sz w:val="22"/>
        </w:rPr>
        <w:t>Los cuatro casos: qué contar de cada uno y cuál es el momento de parar (4/4)</w:t>
      </w:r>
    </w:p>
    <w:p>
      <w:pPr>
        <w:pStyle w:val="ListNumber"/>
      </w:pPr>
      <w:r>
        <w:rPr>
          <w:b w:val="0"/>
          <w:color w:val="4A4A49"/>
          <w:sz w:val="22"/>
        </w:rPr>
        <w:t>La defensa que no sirve y las cinco preguntas que sí (1/2)</w:t>
      </w:r>
    </w:p>
    <w:p>
      <w:pPr>
        <w:pStyle w:val="ListNumber"/>
      </w:pPr>
      <w:r>
        <w:rPr>
          <w:b w:val="0"/>
          <w:color w:val="4A4A49"/>
          <w:sz w:val="22"/>
        </w:rPr>
        <w:t>La defensa que no sirve y las cinco preguntas que sí (2/2)</w:t>
      </w:r>
    </w:p>
    <w:p>
      <w:pPr>
        <w:pStyle w:val="ListNumber"/>
      </w:pPr>
      <w:r>
        <w:rPr>
          <w:b w:val="0"/>
          <w:color w:val="4A4A49"/>
          <w:sz w:val="22"/>
        </w:rPr>
        <w:t>Taller de hoy: Comité de ética</w:t>
      </w:r>
    </w:p>
    <w:p>
      <w:pPr>
        <w:pStyle w:val="ListNumber"/>
      </w:pPr>
      <w:r>
        <w:rPr>
          <w:b w:val="0"/>
          <w:color w:val="4A4A49"/>
          <w:sz w:val="22"/>
        </w:rPr>
        <w:t>Cómo se expone en 3 minutos</w:t>
      </w:r>
    </w:p>
    <w:p>
      <w:pPr>
        <w:pStyle w:val="ListNumber"/>
      </w:pPr>
      <w:r>
        <w:rPr>
          <w:b w:val="0"/>
          <w:color w:val="4A4A49"/>
          <w:sz w:val="22"/>
        </w:rPr>
        <w:t>Para la Clase 5</w:t>
      </w:r>
    </w:p>
    <w:p>
      <w:pPr>
        <w:pStyle w:val="ListNumber"/>
      </w:pPr>
      <w:r>
        <w:rPr>
          <w:b w:val="0"/>
          <w:color w:val="4A4A49"/>
          <w:sz w:val="22"/>
        </w:rPr>
        <w:t>Cierre · Nos vemos en la sesión 5</w:t>
      </w:r>
    </w:p>
    <w:p>
      <w:pPr>
        <w:spacing w:before="200" w:after="60"/>
      </w:pPr>
      <w:r>
        <w:rPr>
          <w:b/>
          <w:color w:val="1A1C1D"/>
          <w:sz w:val="32"/>
        </w:rPr>
        <w:t>Plan de clase minuto a minuto (90 min)</w:t>
      </w:r>
    </w:p>
    <w:p>
      <w:pPr>
        <w:spacing w:before="200" w:after="60"/>
      </w:pPr>
      <w:r>
        <w:rPr>
          <w:b/>
          <w:color w:val="1A1C1D"/>
          <w:sz w:val="32"/>
        </w:rPr>
        <w:t>00:00–00:10 · Apertura · [Slide 4]</w:t>
      </w:r>
    </w:p>
    <w:p>
      <w:r>
        <w:rPr>
          <w:b w:val="0"/>
          <w:color w:val="4A4A49"/>
          <w:sz w:val="22"/>
        </w:rPr>
        <w:t>Comparta pantalla antes de que entre el primero:</w:t>
      </w:r>
    </w:p>
    <w:p>
      <w:pPr>
        <w:ind w:left="432"/>
        <w:shd w:val="clear" w:fill="F7F7F8"/>
      </w:pPr>
      <w:r>
        <w:rPr>
          <w:b w:val="0"/>
          <w:i/>
          <w:color w:val="4A4A49"/>
          <w:sz w:val="21"/>
        </w:rPr>
        <w:t>«Un ingeniero escribió el código que le pidieron, funcionó perfecto, y terminó en la cárcel. ¿Cómo llega alguien ahí?»</w:t>
      </w:r>
    </w:p>
    <w:p>
      <w:r>
        <w:rPr>
          <w:b/>
          <w:color w:val="4A4A49"/>
          <w:sz w:val="22"/>
        </w:rPr>
        <w:t>[Nota docente]:</w:t>
      </w:r>
      <w:r>
        <w:rPr>
          <w:b w:val="0"/>
          <w:color w:val="4A4A49"/>
          <w:sz w:val="22"/>
        </w:rPr>
        <w:t xml:space="preserve"> no diga todavía que es Volkswagen. Recoja las respuestas en el muro; van a aparecer «robó», «hackeó», «se equivocó». Ninguna es correcta y ese es el punto.</w:t>
      </w:r>
    </w:p>
    <w:p>
      <w:r>
        <w:rPr>
          <w:b/>
          <w:color w:val="4A4A49"/>
          <w:sz w:val="22"/>
        </w:rPr>
        <w:t>[Nota docente]:</w:t>
      </w:r>
      <w:r>
        <w:rPr>
          <w:b w:val="0"/>
          <w:color w:val="4A4A49"/>
          <w:sz w:val="22"/>
        </w:rPr>
        <w:t xml:space="preserve"> hoy hay lectura previa (el código de ética). Verifique en el chat quién lo abrió: el taller se cae sin ese texto a mano.</w:t>
      </w:r>
    </w:p>
    <w:p>
      <w:pPr>
        <w:spacing w:before="200" w:after="60"/>
      </w:pPr>
      <w:r>
        <w:rPr>
          <w:b/>
          <w:color w:val="1A1C1D"/>
          <w:sz w:val="32"/>
        </w:rPr>
        <w:t>00:10–00:55 · Teoría · [Slide 5][Slide 6][Slide 7][Slide 8][Slide 9]</w:t>
      </w:r>
    </w:p>
    <w:p>
      <w:r>
        <w:rPr>
          <w:b w:val="0"/>
          <w:color w:val="4A4A49"/>
          <w:sz w:val="22"/>
        </w:rPr>
        <w:t>Reparto sugerido de los 45 min:</w:t>
      </w:r>
    </w:p>
    <w:p>
      <w:pPr>
        <w:pStyle w:val="ListBullet"/>
      </w:pPr>
      <w:r>
        <w:rPr>
          <w:b/>
          <w:color w:val="4A4A49"/>
          <w:sz w:val="22"/>
        </w:rPr>
        <w:t>8 min</w:t>
      </w:r>
      <w:r>
        <w:rPr>
          <w:b w:val="0"/>
          <w:color w:val="4A4A49"/>
          <w:sz w:val="22"/>
        </w:rPr>
        <w:t xml:space="preserve"> · Tres cosas que se confunden [Slide 5]. Insista en la segunda: </w:t>
      </w:r>
      <w:r>
        <w:rPr>
          <w:b/>
          <w:color w:val="4A4A49"/>
          <w:sz w:val="22"/>
        </w:rPr>
        <w:t>hay códigos escritos y se citan por numeral</w:t>
      </w:r>
      <w:r>
        <w:rPr>
          <w:b w:val="0"/>
          <w:color w:val="4A4A49"/>
          <w:sz w:val="22"/>
        </w:rPr>
        <w:t>. De eso depende que el taller sea evaluable y no una tertulia.</w:t>
      </w:r>
    </w:p>
    <w:p>
      <w:pPr>
        <w:pStyle w:val="ListBullet"/>
      </w:pPr>
      <w:r>
        <w:rPr>
          <w:b/>
          <w:color w:val="4A4A49"/>
          <w:sz w:val="22"/>
        </w:rPr>
        <w:t>10 min</w:t>
      </w:r>
      <w:r>
        <w:rPr>
          <w:b w:val="0"/>
          <w:color w:val="4A4A49"/>
          <w:sz w:val="22"/>
        </w:rPr>
        <w:t xml:space="preserve"> · Los principios y las tres normas [Slide 6]. En ACM/IEEE, diga que el orden importa: el público está antes que el empleador. En Colombia, mencione la matrícula del COPNIA: la ética aquí tiene autoridad y consecuencia.</w:t>
      </w:r>
    </w:p>
    <w:p>
      <w:pPr>
        <w:pStyle w:val="ListBullet"/>
      </w:pPr>
      <w:r>
        <w:rPr>
          <w:b/>
          <w:color w:val="4A4A49"/>
          <w:sz w:val="22"/>
        </w:rPr>
        <w:t>16 min</w:t>
      </w:r>
      <w:r>
        <w:rPr>
          <w:b w:val="0"/>
          <w:color w:val="4A4A49"/>
          <w:sz w:val="22"/>
        </w:rPr>
        <w:t xml:space="preserve"> · Los cuatro casos [Slide 7], unos 4 min cada uno. Therac-25 completo; en Volkswagen revele que este era el de la apertura y </w:t>
      </w:r>
      <w:r>
        <w:rPr>
          <w:b/>
          <w:color w:val="4A4A49"/>
          <w:sz w:val="22"/>
        </w:rPr>
        <w:t>vuelva al muro</w:t>
      </w:r>
      <w:r>
        <w:rPr>
          <w:b w:val="0"/>
          <w:color w:val="4A4A49"/>
          <w:sz w:val="22"/>
        </w:rPr>
        <w:t>.</w:t>
      </w:r>
    </w:p>
    <w:p>
      <w:pPr>
        <w:pStyle w:val="ListBullet"/>
      </w:pPr>
      <w:r>
        <w:rPr>
          <w:b/>
          <w:color w:val="4A4A49"/>
          <w:sz w:val="22"/>
        </w:rPr>
        <w:t>6 min</w:t>
      </w:r>
      <w:r>
        <w:rPr>
          <w:b w:val="0"/>
          <w:color w:val="4A4A49"/>
          <w:sz w:val="22"/>
        </w:rPr>
        <w:t xml:space="preserve"> · «Yo solo programé lo que me pidieron» [Slide 8]. La parte importante es la salida práctica: dejar rastro y escalar temprano.</w:t>
      </w:r>
    </w:p>
    <w:p>
      <w:pPr>
        <w:pStyle w:val="ListBullet"/>
      </w:pPr>
      <w:r>
        <w:rPr>
          <w:b/>
          <w:color w:val="4A4A49"/>
          <w:sz w:val="22"/>
        </w:rPr>
        <w:t>5 min</w:t>
      </w:r>
      <w:r>
        <w:rPr>
          <w:b w:val="0"/>
          <w:color w:val="4A4A49"/>
          <w:sz w:val="22"/>
        </w:rPr>
        <w:t xml:space="preserve"> · Las cinco preguntas [Slide 9]. Es el método del taller.</w:t>
      </w:r>
    </w:p>
    <w:p>
      <w:r>
        <w:rPr>
          <w:b/>
          <w:color w:val="4A4A49"/>
          <w:sz w:val="22"/>
        </w:rPr>
        <w:t>[Nota docente]:</w:t>
      </w:r>
      <w:r>
        <w:rPr>
          <w:b w:val="0"/>
          <w:color w:val="4A4A49"/>
          <w:sz w:val="22"/>
        </w:rPr>
        <w:t xml:space="preserve"> si el tiempo aprieta, recorte Cambridge Analytica y 737 MAX a dos minutos. </w:t>
      </w:r>
      <w:r>
        <w:rPr>
          <w:b/>
          <w:color w:val="4A4A49"/>
          <w:sz w:val="22"/>
        </w:rPr>
        <w:t>Therac-25 y Volkswagen no se recortan</w:t>
      </w:r>
      <w:r>
        <w:rPr>
          <w:b w:val="0"/>
          <w:color w:val="4A4A49"/>
          <w:sz w:val="22"/>
        </w:rPr>
        <w:t>: uno da el argumento técnico y el otro el argumento legal.</w:t>
      </w:r>
    </w:p>
    <w:p>
      <w:pPr>
        <w:spacing w:before="200" w:after="60"/>
      </w:pPr>
      <w:r>
        <w:rPr>
          <w:b/>
          <w:color w:val="1A1C1D"/>
          <w:sz w:val="32"/>
        </w:rPr>
        <w:t>00:55–01:12 · Taller en salas de grupo · [Slide 10]</w:t>
      </w:r>
    </w:p>
    <w:p>
      <w:r>
        <w:rPr>
          <w:b/>
          <w:color w:val="4A4A49"/>
          <w:sz w:val="22"/>
        </w:rPr>
        <w:t>2 min</w:t>
      </w:r>
      <w:r>
        <w:rPr>
          <w:b w:val="0"/>
          <w:color w:val="4A4A49"/>
          <w:sz w:val="22"/>
        </w:rPr>
        <w:t xml:space="preserve"> para repartir casos: un caso por equipo, asignado por número de equipo. El quinto equipo recibe un caso local en vez de uno famoso (está en el taller), porque hace falta que al menos uno juzgue algo que podría pasarles a ellos.</w:t>
      </w:r>
    </w:p>
    <w:p>
      <w:r>
        <w:rPr>
          <w:b/>
          <w:color w:val="4A4A49"/>
          <w:sz w:val="22"/>
        </w:rPr>
        <w:t>15 min</w:t>
      </w:r>
      <w:r>
        <w:rPr>
          <w:b w:val="0"/>
          <w:color w:val="4A4A49"/>
          <w:sz w:val="22"/>
        </w:rPr>
        <w:t xml:space="preserve"> en salas. Entre a las cinco, ~3 min cada una, y revise </w:t>
      </w:r>
      <w:r>
        <w:rPr>
          <w:b/>
          <w:color w:val="4A4A49"/>
          <w:sz w:val="22"/>
        </w:rPr>
        <w:t>una sola cosa: que haya un numeral citado</w:t>
      </w:r>
      <w:r>
        <w:rPr>
          <w:b w:val="0"/>
          <w:color w:val="4A4A49"/>
          <w:sz w:val="22"/>
        </w:rPr>
        <w:t>. Un veredicto sin numeral es una opinión y no puntúa el bloque más pesado.</w:t>
      </w:r>
    </w:p>
    <w:p>
      <w:r>
        <w:rPr>
          <w:b/>
          <w:color w:val="4A4A49"/>
          <w:sz w:val="22"/>
        </w:rPr>
        <w:t>[Nota docente]:</w:t>
      </w:r>
      <w:r>
        <w:rPr>
          <w:b w:val="0"/>
          <w:color w:val="4A4A49"/>
          <w:sz w:val="22"/>
        </w:rPr>
        <w:t xml:space="preserve"> el error que hay que cortar en caliente es el veredicto genérico («actuaron con negligencia»). Pida el sujeto: </w:t>
      </w:r>
      <w:r>
        <w:rPr>
          <w:b/>
          <w:color w:val="4A4A49"/>
          <w:sz w:val="22"/>
        </w:rPr>
        <w:t>quién</w:t>
      </w:r>
      <w:r>
        <w:rPr>
          <w:b w:val="0"/>
          <w:color w:val="4A4A49"/>
          <w:sz w:val="22"/>
        </w:rPr>
        <w:t xml:space="preserve"> decidió, en qué momento y qué información tenía.</w:t>
      </w:r>
    </w:p>
    <w:p>
      <w:r>
        <w:rPr>
          <w:b/>
          <w:color w:val="4A4A49"/>
          <w:sz w:val="22"/>
        </w:rPr>
        <w:t>[Nota docente]:</w:t>
      </w:r>
      <w:r>
        <w:rPr>
          <w:b w:val="0"/>
          <w:color w:val="4A4A49"/>
          <w:sz w:val="22"/>
        </w:rPr>
        <w:t xml:space="preserve"> cuando alguien diga «pero le habrían echado del trabajo», no lo descarte: es la objeción honesta. Responda con lo que sí se le pide —dejar rastro y escalar— y con lo que le pasó a quien no lo hizo.</w:t>
      </w:r>
    </w:p>
    <w:p>
      <w:pPr>
        <w:spacing w:before="200" w:after="60"/>
      </w:pPr>
      <w:r>
        <w:rPr>
          <w:b/>
          <w:color w:val="1A1C1D"/>
          <w:sz w:val="32"/>
        </w:rPr>
        <w:t>01:12–01:27 · Exposiciones · [Slide 11]</w:t>
      </w:r>
    </w:p>
    <w:p>
      <w:r>
        <w:rPr>
          <w:b w:val="0"/>
          <w:color w:val="4A4A49"/>
          <w:sz w:val="22"/>
        </w:rPr>
        <w:t xml:space="preserve">5 equipos × 3 min, vocero con la pantalla ya compartida. </w:t>
      </w:r>
      <w:r>
        <w:rPr>
          <w:b/>
          <w:color w:val="4A4A49"/>
          <w:sz w:val="22"/>
        </w:rPr>
        <w:t>El minuto obligatorio de hoy es «el momento en que se pudo parar»</w:t>
      </w:r>
      <w:r>
        <w:rPr>
          <w:b w:val="0"/>
          <w:color w:val="4A4A49"/>
          <w:sz w:val="22"/>
        </w:rPr>
        <w:t>: sin eso la exposición es un resumen de noticia.</w:t>
      </w:r>
    </w:p>
    <w:p>
      <w:r>
        <w:rPr>
          <w:b/>
          <w:color w:val="4A4A49"/>
          <w:sz w:val="22"/>
        </w:rPr>
        <w:t>[Nota docente]:</w:t>
      </w:r>
      <w:r>
        <w:rPr>
          <w:b w:val="0"/>
          <w:color w:val="4A4A49"/>
          <w:sz w:val="22"/>
        </w:rPr>
        <w:t xml:space="preserve"> los cinco enlaces en el chat antes de arrancar.</w:t>
      </w:r>
    </w:p>
    <w:p>
      <w:r>
        <w:rPr>
          <w:b/>
          <w:color w:val="4A4A49"/>
          <w:sz w:val="22"/>
        </w:rPr>
        <w:t>[Nota docente]:</w:t>
      </w:r>
      <w:r>
        <w:rPr>
          <w:b w:val="0"/>
          <w:color w:val="4A4A49"/>
          <w:sz w:val="22"/>
        </w:rPr>
        <w:t xml:space="preserve"> anote qué numeral citó cada equipo. Si tres equipos citaron el principio 1 del código ACM/IEEE, dígalo en el cierre: es la señal de que el interés público es el principio que resuelve la mayoría de los casos.</w:t>
      </w:r>
    </w:p>
    <w:p>
      <w:pPr>
        <w:spacing w:before="200" w:after="60"/>
      </w:pPr>
      <w:r>
        <w:rPr>
          <w:b/>
          <w:color w:val="1A1C1D"/>
          <w:sz w:val="32"/>
        </w:rPr>
        <w:t>01:27–01:30 · Cierre · [Slide 12][Slide 13]</w:t>
      </w:r>
    </w:p>
    <w:p>
      <w:r>
        <w:rPr>
          <w:b w:val="0"/>
          <w:color w:val="4A4A49"/>
          <w:sz w:val="22"/>
        </w:rPr>
        <w:t xml:space="preserve">Una idea: </w:t>
      </w:r>
      <w:r>
        <w:rPr>
          <w:b/>
          <w:color w:val="4A4A49"/>
          <w:sz w:val="22"/>
        </w:rPr>
        <w:t>en los cuatro casos el software funcionó.</w:t>
      </w:r>
      <w:r>
        <w:rPr>
          <w:b w:val="0"/>
          <w:color w:val="4A4A49"/>
          <w:sz w:val="22"/>
        </w:rPr>
        <w:t xml:space="preserve"> Falló lo que se pidió construir y el hecho de que nadie lo detuvo. La ética profesional es la decisión temprana, no el arrepentimiento posterior.</w:t>
      </w:r>
    </w:p>
    <w:p>
      <w:r>
        <w:rPr>
          <w:b w:val="0"/>
          <w:color w:val="4A4A49"/>
          <w:sz w:val="22"/>
        </w:rPr>
        <w:t>Anuncie la sesión 5: hoy se vio el daño a personas; la próxima, el daño que no tiene una víctima con nombre y que casi nadie mide — el ambiental.</w:t>
      </w:r>
    </w:p>
    <w:p>
      <w:pPr>
        <w:spacing w:before="200" w:after="60"/>
      </w:pPr>
      <w:r>
        <w:rPr>
          <w:b/>
          <w:color w:val="1A1C1D"/>
          <w:sz w:val="32"/>
        </w:rPr>
        <w:t>Errores frecuentes y cómo cortarlos en caliente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«La empresa actuó con negligencia»</w:t>
            </w:r>
          </w:p>
        </w:tc>
        <w:tc>
          <w:tcPr>
            <w:tcW w:type="dxa" w:w="2880"/>
          </w:tcPr>
          <w:p>
            <w:r/>
            <w:r>
              <w:rPr>
                <w:b w:val="0"/>
                <w:color w:val="4A4A49"/>
                <w:sz w:val="20"/>
              </w:rPr>
              <w:t>«La empresa» no decide: deciden personas con un cargo, y sin sujeto el caso no enseña nada.</w:t>
            </w:r>
          </w:p>
        </w:tc>
        <w:tc>
          <w:tcPr>
            <w:tcW w:type="dxa" w:w="2880"/>
          </w:tcPr>
          <w:p>
            <w:r/>
            <w:r>
              <w:rPr>
                <w:b w:val="0"/>
                <w:color w:val="4A4A49"/>
                <w:sz w:val="20"/>
              </w:rPr>
              <w:t>Quién tomó la decisión (el rol), en qué momento y con qué información.</w:t>
            </w:r>
          </w:p>
        </w:tc>
      </w:tr>
      <w:tr>
        <w:tc>
          <w:tcPr>
            <w:tcW w:type="dxa" w:w="2880"/>
            <w:shd w:val="clear" w:fill="ECECEE"/>
          </w:tcPr>
          <w:p>
            <w:r/>
            <w:r>
              <w:rPr>
                <w:b w:val="0"/>
                <w:color w:val="4A4A49"/>
                <w:sz w:val="20"/>
              </w:rPr>
              <w:t>«El culpable fue el programador que dejó el error»</w:t>
            </w:r>
          </w:p>
        </w:tc>
        <w:tc>
          <w:tcPr>
            <w:tcW w:type="dxa" w:w="2880"/>
            <w:shd w:val="clear" w:fill="ECECEE"/>
          </w:tcPr>
          <w:p>
            <w:r/>
            <w:r>
              <w:rPr>
                <w:b w:val="0"/>
                <w:color w:val="4A4A49"/>
                <w:sz w:val="20"/>
              </w:rPr>
              <w:t>En los cuatro casos el software hizo lo que se le pidió; el error, cuando existió, era inofensivo hasta que alguien quitó la barrera.</w:t>
            </w:r>
          </w:p>
        </w:tc>
        <w:tc>
          <w:tcPr>
            <w:tcW w:type="dxa" w:w="2880"/>
            <w:shd w:val="clear" w:fill="ECECEE"/>
          </w:tcPr>
          <w:p>
            <w:r/>
            <w:r>
              <w:rPr>
                <w:b w:val="0"/>
                <w:color w:val="4A4A49"/>
                <w:sz w:val="20"/>
              </w:rPr>
              <w:t>La decisión de diseño o de negocio que convirtió el error en daño.</w:t>
            </w:r>
          </w:p>
        </w:tc>
      </w:tr>
      <w:tr>
        <w:tc>
          <w:tcPr>
            <w:tcW w:type="dxa" w:w="2880"/>
          </w:tcPr>
          <w:p>
            <w:r/>
            <w:r>
              <w:rPr>
                <w:b w:val="0"/>
                <w:color w:val="4A4A49"/>
                <w:sz w:val="20"/>
              </w:rPr>
              <w:t>«El código de ética dice que hay que ser responsable»</w:t>
            </w:r>
          </w:p>
        </w:tc>
        <w:tc>
          <w:tcPr>
            <w:tcW w:type="dxa" w:w="2880"/>
          </w:tcPr>
          <w:p>
            <w:r/>
            <w:r>
              <w:rPr>
                <w:b w:val="0"/>
                <w:color w:val="4A4A49"/>
                <w:sz w:val="20"/>
              </w:rPr>
              <w:t>Eso no está en ningún numeral; es una paráfrasis vacía y no puntúa el bloque más pesado.</w:t>
            </w:r>
          </w:p>
        </w:tc>
        <w:tc>
          <w:tcPr>
            <w:tcW w:type="dxa" w:w="2880"/>
          </w:tcPr>
          <w:p>
            <w:r/>
            <w:r>
              <w:rPr>
                <w:b w:val="0"/>
                <w:color w:val="4A4A49"/>
                <w:sz w:val="20"/>
              </w:rPr>
              <w:t>El número del principio o del artículo y la cita literal del texto compartido.</w:t>
            </w:r>
          </w:p>
        </w:tc>
      </w:tr>
      <w:tr>
        <w:tc>
          <w:tcPr>
            <w:tcW w:type="dxa" w:w="2880"/>
            <w:shd w:val="clear" w:fill="ECECEE"/>
          </w:tcPr>
          <w:p>
            <w:r/>
            <w:r>
              <w:rPr>
                <w:b w:val="0"/>
                <w:color w:val="4A4A49"/>
                <w:sz w:val="20"/>
              </w:rPr>
              <w:t>«Debieron probar mejor el software»</w:t>
            </w:r>
          </w:p>
        </w:tc>
        <w:tc>
          <w:tcPr>
            <w:tcW w:type="dxa" w:w="2880"/>
            <w:shd w:val="clear" w:fill="ECECEE"/>
          </w:tcPr>
          <w:p>
            <w:r/>
            <w:r>
              <w:rPr>
                <w:b w:val="0"/>
                <w:color w:val="4A4A49"/>
                <w:sz w:val="20"/>
              </w:rPr>
              <w:t>Es correcto y es tardío: no toca la decisión que creó el riesgo.</w:t>
            </w:r>
          </w:p>
        </w:tc>
        <w:tc>
          <w:tcPr>
            <w:tcW w:type="dxa" w:w="2880"/>
            <w:shd w:val="clear" w:fill="ECECEE"/>
          </w:tcPr>
          <w:p>
            <w:r/>
            <w:r>
              <w:rPr>
                <w:b w:val="0"/>
                <w:color w:val="4A4A49"/>
                <w:sz w:val="20"/>
              </w:rPr>
              <w:t>El momento más temprano en que alguien pudo cambiar el resultado, y qué debía hacer ahí.</w:t>
            </w:r>
          </w:p>
        </w:tc>
      </w:tr>
      <w:tr>
        <w:tc>
          <w:tcPr>
            <w:tcW w:type="dxa" w:w="2880"/>
          </w:tcPr>
          <w:p>
            <w:r/>
            <w:r>
              <w:rPr>
                <w:b w:val="0"/>
                <w:color w:val="4A4A49"/>
                <w:sz w:val="20"/>
              </w:rPr>
              <w:t>«Si era legal, no hay problema ético»</w:t>
            </w:r>
          </w:p>
        </w:tc>
        <w:tc>
          <w:tcPr>
            <w:tcW w:type="dxa" w:w="2880"/>
          </w:tcPr>
          <w:p>
            <w:r/>
            <w:r>
              <w:rPr>
                <w:b w:val="0"/>
                <w:color w:val="4A4A49"/>
                <w:sz w:val="20"/>
              </w:rPr>
              <w:t>Cambridge Analytica era legal según las reglas de la plataforma y es indefendible.</w:t>
            </w:r>
          </w:p>
        </w:tc>
        <w:tc>
          <w:tcPr>
            <w:tcW w:type="dxa" w:w="2880"/>
          </w:tcPr>
          <w:p>
            <w:r/>
            <w:r>
              <w:rPr>
                <w:b w:val="0"/>
                <w:color w:val="4A4A49"/>
                <w:sz w:val="20"/>
              </w:rPr>
              <w:t>Que apliquen la pregunta 3: ¿aguanta que se sepa? Y que digan quién quedó sin saber.</w:t>
            </w:r>
          </w:p>
        </w:tc>
      </w:tr>
    </w:tbl>
    <w:p/>
    <w:p>
      <w:pPr>
        <w:spacing w:before="200" w:after="60"/>
      </w:pPr>
      <w:r>
        <w:rPr>
          <w:b/>
          <w:color w:val="1A1C1D"/>
          <w:sz w:val="32"/>
        </w:rPr>
        <w:t>Dudas frecuentes del estudiante</w:t>
      </w:r>
    </w:p>
    <w:p>
      <w:r>
        <w:rPr>
          <w:b/>
          <w:color w:val="4A4A49"/>
          <w:sz w:val="22"/>
        </w:rPr>
        <w:t>¿Y si me despiden por negarme?</w:t>
      </w:r>
    </w:p>
    <w:p>
      <w:r>
        <w:rPr>
          <w:b w:val="0"/>
          <w:color w:val="4A4A49"/>
          <w:sz w:val="22"/>
        </w:rPr>
        <w:t xml:space="preserve">Es la objeción honesta y no se le va a responder con heroísmo. Lo que el curso le pide no es renunciar ni denunciar: es </w:t>
      </w:r>
      <w:r>
        <w:rPr>
          <w:b/>
          <w:color w:val="4A4A49"/>
          <w:sz w:val="22"/>
        </w:rPr>
        <w:t>dejar rastro y escalar temprano</w:t>
      </w:r>
      <w:r>
        <w:rPr>
          <w:b w:val="0"/>
          <w:color w:val="4A4A49"/>
          <w:sz w:val="22"/>
        </w:rPr>
        <w:t>. Un correo que diga «esto tiene este riesgo para estas personas, lo dejo por escrito» hace que decida quien tiene la autoridad, sabiendo. Y le recuerdo el dato de Volkswagen: quien ejecutó calladamente fue a prisión, y eso también le cuesta el trabajo.</w:t>
      </w:r>
    </w:p>
    <w:p>
      <w:r>
        <w:rPr>
          <w:b/>
          <w:color w:val="4A4A49"/>
          <w:sz w:val="22"/>
        </w:rPr>
        <w:t>¿Un estudiante de primer semestre ya tiene responsabilidad profesional?</w:t>
      </w:r>
    </w:p>
    <w:p>
      <w:r>
        <w:rPr>
          <w:b w:val="0"/>
          <w:color w:val="4A4A49"/>
          <w:sz w:val="22"/>
        </w:rPr>
        <w:t xml:space="preserve">Legalmente la matrícula profesional viene después del título. Pero la Ley 1581 de 2012 y la Ley 1273 de 2009 le aplican </w:t>
      </w:r>
      <w:r>
        <w:rPr>
          <w:b/>
          <w:color w:val="4A4A49"/>
          <w:sz w:val="22"/>
        </w:rPr>
        <w:t>hoy</w:t>
      </w:r>
      <w:r>
        <w:rPr>
          <w:b w:val="0"/>
          <w:color w:val="4A4A49"/>
          <w:sz w:val="22"/>
        </w:rPr>
        <w:t>, como a cualquier persona: si sube datos de pacientes a un enlace público en el proyecto de este curso, eso ya es un problema real, no un ejercicio.</w:t>
      </w:r>
    </w:p>
    <w:p>
      <w:r>
        <w:rPr>
          <w:b/>
          <w:color w:val="4A4A49"/>
          <w:sz w:val="22"/>
        </w:rPr>
        <w:t>¿Los códigos de ética tienen fuerza legal en Colombia?</w:t>
      </w:r>
    </w:p>
    <w:p>
      <w:r>
        <w:rPr>
          <w:b w:val="0"/>
          <w:color w:val="4A4A49"/>
          <w:sz w:val="22"/>
        </w:rPr>
        <w:t xml:space="preserve">El de ACM/IEEE no: es un compromiso profesional internacional, y su fuerza está en que es el estándar que la profesión reconoce. La </w:t>
      </w:r>
      <w:r>
        <w:rPr>
          <w:b/>
          <w:color w:val="4A4A49"/>
          <w:sz w:val="22"/>
        </w:rPr>
        <w:t>Ley 842 de 2003</w:t>
      </w:r>
      <w:r>
        <w:rPr>
          <w:b w:val="0"/>
          <w:color w:val="4A4A49"/>
          <w:sz w:val="22"/>
        </w:rPr>
        <w:t xml:space="preserve"> sí es ley colombiana, y el COPNIA puede sancionar y suspender la matrícula profesional con base en ella. Las leyes 1581 y 1273 tienen consecuencias directas: sanciones administrativas la primera, penales la segunda.</w:t>
      </w:r>
    </w:p>
    <w:p>
      <w:r>
        <w:rPr>
          <w:b/>
          <w:color w:val="4A4A49"/>
          <w:sz w:val="22"/>
        </w:rPr>
        <w:t>¿En el proyecto del curso podemos usar datos reales de personas?</w:t>
      </w:r>
    </w:p>
    <w:p>
      <w:r>
        <w:rPr>
          <w:b w:val="0"/>
          <w:color w:val="4A4A49"/>
          <w:sz w:val="22"/>
        </w:rPr>
        <w:t>No. Ni nombres, ni cédulas, ni teléfonos, ni fotos de terceros: se usa el rol. Si su proyecto necesita datos para funcionar, se inventan datos de prueba. Esa regla es la Ley 1581 de 2012 aplicada a su trabajo, y es la primera cosa que se revisa en el informe final.</w:t>
      </w:r>
    </w:p>
    <w:p>
      <w:pPr>
        <w:spacing w:before="200" w:after="60"/>
      </w:pPr>
      <w:r>
        <w:rPr>
          <w:b/>
          <w:color w:val="1A1C1D"/>
          <w:sz w:val="32"/>
        </w:rPr>
        <w:t>Notas operativas</w:t>
      </w:r>
    </w:p>
    <w:p>
      <w:pPr>
        <w:pStyle w:val="ListBullet"/>
      </w:pPr>
      <w:r>
        <w:rPr>
          <w:b w:val="0"/>
          <w:color w:val="4A4A49"/>
          <w:sz w:val="22"/>
        </w:rPr>
        <w:t xml:space="preserve">Comparta el </w:t>
      </w:r>
      <w:r>
        <w:rPr>
          <w:b/>
          <w:color w:val="4A4A49"/>
          <w:sz w:val="22"/>
        </w:rPr>
        <w:t>texto del código ACM/IEEE y el de la Ley 842 de 2003</w:t>
      </w:r>
      <w:r>
        <w:rPr>
          <w:b w:val="0"/>
          <w:color w:val="4A4A49"/>
          <w:sz w:val="22"/>
        </w:rPr>
        <w:t xml:space="preserve"> en la carpeta del curso antes de la sesión. Sin el texto a mano, el bloque del numeral —30 % de la nota— no se puede hacer y el taller se convierte en opinión.</w:t>
      </w:r>
    </w:p>
    <w:p>
      <w:pPr>
        <w:pStyle w:val="ListBullet"/>
      </w:pPr>
      <w:r>
        <w:rPr>
          <w:b w:val="0"/>
          <w:color w:val="4A4A49"/>
          <w:sz w:val="22"/>
        </w:rPr>
        <w:t xml:space="preserve">El caso del equipo 5 (el local, de datos de salud en un enlace público) </w:t>
      </w:r>
      <w:r>
        <w:rPr>
          <w:b/>
          <w:color w:val="4A4A49"/>
          <w:sz w:val="22"/>
        </w:rPr>
        <w:t>no se cambia</w:t>
      </w:r>
      <w:r>
        <w:rPr>
          <w:b w:val="0"/>
          <w:color w:val="4A4A49"/>
          <w:sz w:val="22"/>
        </w:rPr>
        <w:t>: es el que amarra la clase al proyecto del semestre y a la regla de datos personales del curso.</w:t>
      </w:r>
    </w:p>
    <w:p>
      <w:pPr>
        <w:pStyle w:val="ListBullet"/>
      </w:pPr>
      <w:r>
        <w:rPr>
          <w:b w:val="0"/>
          <w:color w:val="4A4A49"/>
          <w:sz w:val="22"/>
        </w:rPr>
        <w:t>Si un equipo trae una cifra de muertos o de multas, pida la fuente y el año. Los números de estos casos circulan con variaciones.</w:t>
      </w:r>
    </w:p>
    <w:p>
      <w:pPr>
        <w:pStyle w:val="ListBullet"/>
      </w:pPr>
      <w:r>
        <w:rPr>
          <w:b w:val="0"/>
          <w:color w:val="4A4A49"/>
          <w:sz w:val="22"/>
        </w:rPr>
        <w:t xml:space="preserve">Al calificar, sea estricto con la </w:t>
      </w:r>
      <w:r>
        <w:rPr>
          <w:b/>
          <w:color w:val="4A4A49"/>
          <w:sz w:val="22"/>
        </w:rPr>
        <w:t>cita literal</w:t>
      </w:r>
      <w:r>
        <w:rPr>
          <w:b w:val="0"/>
          <w:color w:val="4A4A49"/>
          <w:sz w:val="22"/>
        </w:rPr>
        <w:t>. Un resumen del principio, aunque sea correcto, no vale igual: la habilidad que se está formando es citar la norma que obliga.</w:t>
      </w:r>
    </w:p>
    <w:p>
      <w:pPr>
        <w:pStyle w:val="ListBullet"/>
      </w:pPr>
      <w:r>
        <w:rPr>
          <w:b w:val="0"/>
          <w:color w:val="4A4A49"/>
          <w:sz w:val="22"/>
        </w:rPr>
        <w:t xml:space="preserve">Esta sesión no usa asistente de IA. Si un equipo lo usa, la falla típica es un numeral </w:t>
      </w:r>
      <w:r>
        <w:rPr>
          <w:b/>
          <w:color w:val="4A4A49"/>
          <w:sz w:val="22"/>
        </w:rPr>
        <w:t>inventado</w:t>
      </w:r>
      <w:r>
        <w:rPr>
          <w:b w:val="0"/>
          <w:color w:val="4A4A49"/>
          <w:sz w:val="22"/>
        </w:rPr>
        <w:t>: el asistente cita artículos que no existen con total naturalidad. Verifique cualquier numeral contra el texto compartido.</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4 - Principios eticos en la Ingenieria/Presentacion.pptx</w:t>
      </w:r>
    </w:p>
    <w:p>
      <w:pPr>
        <w:pStyle w:val="ListBullet"/>
      </w:pPr>
      <w:r>
        <w:rPr>
          <w:b w:val="0"/>
          <w:color w:val="4A4A49"/>
          <w:sz w:val="22"/>
        </w:rPr>
        <w:t xml:space="preserve">Taller del estudiante: </w:t>
      </w:r>
      <w:r>
        <w:rPr>
          <w:rFonts w:ascii="Consolas" w:hAnsi="Consolas"/>
          <w:b w:val="0"/>
          <w:color w:val="111111"/>
          <w:sz w:val="21"/>
        </w:rPr>
        <w:t>Clases/Clase 4 - Principios eticos en la Ingenieria/Taller Clase 4 - Comite de etica.docx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4/Solucion Taller Clase 4 - Comite de etica.docx</w:t>
      </w:r>
    </w:p>
    <w:p>
      <w:pPr>
        <w:pStyle w:val="ListBullet"/>
      </w:pPr>
      <w:r>
        <w:rPr>
          <w:b w:val="0"/>
          <w:color w:val="4A4A49"/>
          <w:sz w:val="22"/>
        </w:rPr>
        <w:t xml:space="preserve">Este guion: </w:t>
      </w:r>
      <w:r>
        <w:rPr>
          <w:rFonts w:ascii="Consolas" w:hAnsi="Consolas"/>
          <w:b w:val="0"/>
          <w:color w:val="111111"/>
          <w:sz w:val="21"/>
        </w:rPr>
        <w:t>Kit docente/Clase 4/Guion Docente Clase 4 - Principios eticos en la Ingenieria.docx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