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Proyectado en la lamina «La pregunta de entrada: la solución disfrazada de problema (1/2)» (3 vinetas).</w:t>
      </w:r>
    </w:p>
    <w:p>
      <w:pPr>
        <w:spacing w:before="200" w:after="60"/>
      </w:pPr>
      <w:r>
        <w:rPr>
          <w:b/>
          <w:color w:val="1A1C1D"/>
          <w:sz w:val="32"/>
        </w:rPr>
        <w:t>Las tres cosas que se confunden y cómo se escribe un problema - diapositiva 5</w:t>
      </w:r>
    </w:p>
    <w:p>
      <w:r>
        <w:rPr>
          <w:b w:val="0"/>
          <w:color w:val="4A4A49"/>
          <w:sz w:val="22"/>
        </w:rPr>
        <w:t>Proyectado en la lamina «La pregunta de entrada: la solución disfrazada de problema (2/2)» (3 vinetas).</w:t>
      </w:r>
    </w:p>
    <w:p>
      <w:pPr>
        <w:spacing w:before="200" w:after="60"/>
      </w:pPr>
      <w:r>
        <w:rPr>
          <w:b/>
          <w:color w:val="1A1C1D"/>
          <w:sz w:val="32"/>
        </w:rPr>
        <w:t>El árbol del problema: la herramienta que evita las soluciones cosméticas - diapositiva 6</w:t>
      </w:r>
    </w:p>
    <w:p>
      <w:r>
        <w:rPr>
          <w:b w:val="0"/>
          <w:color w:val="4A4A49"/>
          <w:sz w:val="22"/>
        </w:rPr>
        <w:t>Proyectado en la lamina «Las tres cosas que se confunden y cómo se escribe un problema (1/3)» (5 vinetas).</w:t>
      </w:r>
    </w:p>
    <w:p>
      <w:pPr>
        <w:pStyle w:val="ListBullet"/>
      </w:pPr>
      <w:r>
        <w:rPr>
          <w:b w:val="0"/>
          <w:color w:val="4A4A49"/>
          <w:sz w:val="22"/>
        </w:rPr>
        <w:t>Tiene sujeto (los usuarios), tiene el qué (no saben la disponibilidad), tiene la consecuencia (viajes en vano) y tiene una cifra.</w:t>
      </w:r>
    </w:p>
    <w:p>
      <w:pPr>
        <w:spacing w:before="200" w:after="60"/>
      </w:pPr>
      <w:r>
        <w:rPr>
          <w:b/>
          <w:color w:val="1A1C1D"/>
          <w:sz w:val="32"/>
        </w:rPr>
        <w:t>La línea base y los cuatro criterios de viabilidad - diapositivas 7 y 8</w:t>
      </w:r>
    </w:p>
    <w:p>
      <w:r>
        <w:rPr>
          <w:b w:val="0"/>
          <w:color w:val="4A4A49"/>
          <w:sz w:val="22"/>
        </w:rPr>
        <w:t>Proyectado en la lamina «Las tres cosas que se confunden y cómo se escribe un problema (2/3)» (5 vinetas).</w:t>
      </w:r>
    </w:p>
    <w:p>
      <w:pPr>
        <w:spacing w:before="200" w:after="60"/>
      </w:pPr>
      <w:r>
        <w:rPr>
          <w:b/>
          <w:color w:val="1A1C1D"/>
          <w:sz w:val="32"/>
        </w:rPr>
        <w:t>Cómo cerrar el corte: la ficha y la evaluación en ExamLab - diapositiva 9</w:t>
      </w:r>
    </w:p>
    <w:p>
      <w:r>
        <w:rPr>
          <w:b w:val="0"/>
          <w:color w:val="4A4A49"/>
          <w:sz w:val="22"/>
        </w:rPr>
        <w:t>Proyectado en la lamina «Las tres cosas que se confunden y cómo se escribe un problema (3/3)» (2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La pregunta de entrada: la solución disfrazada de problema (1/2)</w:t>
      </w:r>
    </w:p>
    <w:p>
      <w:pPr>
        <w:pStyle w:val="ListNumber"/>
      </w:pPr>
      <w:r>
        <w:rPr>
          <w:b w:val="0"/>
          <w:color w:val="4A4A49"/>
          <w:sz w:val="22"/>
        </w:rPr>
        <w:t>La pregunta de entrada: la solución disfrazada de problema (2/2)</w:t>
      </w:r>
    </w:p>
    <w:p>
      <w:pPr>
        <w:pStyle w:val="ListNumber"/>
      </w:pPr>
      <w:r>
        <w:rPr>
          <w:b w:val="0"/>
          <w:color w:val="4A4A49"/>
          <w:sz w:val="22"/>
        </w:rPr>
        <w:t>Las tres cosas que se confunden y cómo se escribe un problema (1/3)</w:t>
      </w:r>
    </w:p>
    <w:p>
      <w:pPr>
        <w:pStyle w:val="ListNumber"/>
      </w:pPr>
      <w:r>
        <w:rPr>
          <w:b w:val="0"/>
          <w:color w:val="4A4A49"/>
          <w:sz w:val="22"/>
        </w:rPr>
        <w:t>Las tres cosas que se confunden y cómo se escribe un problema (2/3)</w:t>
      </w:r>
    </w:p>
    <w:p>
      <w:pPr>
        <w:pStyle w:val="ListNumber"/>
      </w:pPr>
      <w:r>
        <w:rPr>
          <w:b w:val="0"/>
          <w:color w:val="4A4A49"/>
          <w:sz w:val="22"/>
        </w:rPr>
        <w:t>Las tres cosas que se confunden y cómo se escribe un problema (3/3)</w:t>
      </w:r>
    </w:p>
    <w:p>
      <w:pPr>
        <w:pStyle w:val="ListNumber"/>
      </w:pPr>
      <w:r>
        <w:rPr>
          <w:b w:val="0"/>
          <w:color w:val="4A4A49"/>
          <w:sz w:val="22"/>
        </w:rPr>
        <w:t>El árbol del problema: la herramienta que evita las soluciones cosméticas (1/3)</w:t>
      </w:r>
    </w:p>
    <w:p>
      <w:pPr>
        <w:pStyle w:val="ListNumber"/>
      </w:pPr>
      <w:r>
        <w:rPr>
          <w:b w:val="0"/>
          <w:color w:val="4A4A49"/>
          <w:sz w:val="22"/>
        </w:rPr>
        <w:t>El árbol del problema: la herramienta que evita las soluciones cosméticas (2/3)</w:t>
      </w:r>
    </w:p>
    <w:p>
      <w:pPr>
        <w:pStyle w:val="ListNumber"/>
      </w:pPr>
      <w:r>
        <w:rPr>
          <w:b w:val="0"/>
          <w:color w:val="4A4A49"/>
          <w:sz w:val="22"/>
        </w:rPr>
        <w:t>El árbol del problema: la herramienta que evita las soluciones cosméticas (3/3)</w:t>
      </w:r>
    </w:p>
    <w:p>
      <w:pPr>
        <w:pStyle w:val="ListNumber"/>
      </w:pPr>
      <w:r>
        <w:rPr>
          <w:b w:val="0"/>
          <w:color w:val="4A4A49"/>
          <w:sz w:val="22"/>
        </w:rPr>
        <w:t>La línea base y los cuatro criterios de viabilidad (1/4)</w:t>
      </w:r>
    </w:p>
    <w:p>
      <w:pPr>
        <w:pStyle w:val="ListNumber"/>
      </w:pPr>
      <w:r>
        <w:rPr>
          <w:b w:val="0"/>
          <w:color w:val="4A4A49"/>
          <w:sz w:val="22"/>
        </w:rPr>
        <w:t>La línea base y los cuatro criterios de viabilidad (2/4)</w:t>
      </w:r>
    </w:p>
    <w:p>
      <w:pPr>
        <w:pStyle w:val="ListNumber"/>
      </w:pPr>
      <w:r>
        <w:rPr>
          <w:b w:val="0"/>
          <w:color w:val="4A4A49"/>
          <w:sz w:val="22"/>
        </w:rPr>
        <w:t>La línea base y los cuatro criterios de viabilidad (3/4)</w:t>
      </w:r>
    </w:p>
    <w:p>
      <w:pPr>
        <w:pStyle w:val="ListNumber"/>
      </w:pPr>
      <w:r>
        <w:rPr>
          <w:b w:val="0"/>
          <w:color w:val="4A4A49"/>
          <w:sz w:val="22"/>
        </w:rPr>
        <w:t>La línea base y los cuatro criterios de viabilidad (4/4)</w:t>
      </w:r>
    </w:p>
    <w:p>
      <w:pPr>
        <w:pStyle w:val="ListNumber"/>
      </w:pPr>
      <w:r>
        <w:rPr>
          <w:b w:val="0"/>
          <w:color w:val="4A4A49"/>
          <w:sz w:val="22"/>
        </w:rPr>
        <w:t>Cómo cerrar el corte: la ficha y la evaluación en ExamLab (1/2)</w:t>
      </w:r>
    </w:p>
    <w:p>
      <w:pPr>
        <w:pStyle w:val="ListNumber"/>
      </w:pPr>
      <w:r>
        <w:rPr>
          <w:b w:val="0"/>
          <w:color w:val="4A4A49"/>
          <w:sz w:val="22"/>
        </w:rPr>
        <w:t>Cómo cerrar el corte: la ficha y la evaluación en ExamLab (2/2)</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