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Anexo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el caso completo —perfil de la clínica, las 8 entidades, las 3 reglas de negocio, el elenco de nombres y cómo crece la base durante el semestre— está en </w:t>
      </w:r>
      <w:r>
        <w:rPr>
          <w:rFonts w:ascii="Calibri" w:hAnsi="Calibri" w:eastAsia="Calibri"/>
          <w:b/>
          <w:color w:val="2B2B2B"/>
          <w:sz w:val="22"/>
        </w:rPr>
        <w:t>Anexo - Caso de estudio Clinica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 Téngalo a mano en todas las clases: los talleres se refieren a esos datos.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(PNG/SVG), todo dentro del .zip de la entrega (sección 9).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(turno de 20 minutos).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en ExamLab: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 más tardar el domingo 15/11, 11:59 p. m.; el 16/11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documentos en Google Docs/Drive o Word Online, dentro del .zip que se sube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—código, documentos, diagramas y capturas—;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Una sola entrega por estudiante,</w:t>
      </w:r>
      <w:r>
        <w:rPr>
          <w:rFonts w:ascii="Calibri" w:hAnsi="Calibri" w:eastAsia="Calibri"/>
          <w:b w:val="0"/>
          <w:color w:val="2B2B2B"/>
          <w:sz w:val="22"/>
        </w:rPr>
        <w:t xml:space="preserve"> también si el docente autorizó trabajar en equipo.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(turno de 20 minutos).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