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FI303215 · Grupo 641A-2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heredado de Prog. II / Seminario: PI continuo ABPr, 20% Corte 3. Enunciados viejos viven como .gdoc en Clase 1; aquí se materializa en Clases/Proyecto Integrador/ (estudiante) + Kit docente/Proyecto Integrador/.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 con checklist viva + empujar integración app↔BD y casos de prueba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caso real y revisar la entrega asíncrona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(virtual síncrona · solo evaluación: el ensayo fue en la sesión 10)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(domingo, 11:59 p. m.): un .zip + enlace por estudiante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Una sola entrega por estudiante, aunque haya equipo autorizado.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lunes 16/11 (festivo, sí hay clase), por Meet: 15 minutos de exposición + 5 minutos de preguntas (turno de 20 minutos).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(calificar sobre 100 → escala a 20% del corte)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15 min de exposición + 5 de preguntas; preguntas cruzadas al azar sobre cualquier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.zip (scripts .sql, diagrama, informe, capturas) Y el enlace al repositorio o a la carpeta de Drive: los dos son obligatorios.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Capturas de ejecución en Live SQL /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Reparto del guion por bloques temáticos (y, si hubo equipo autorizado, quién presentó qué).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Post-clase Padlet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usó Padlet en Clase 1: ⋯ → Clear posts → código → Delete (reutilizar cupo gratis).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