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0"/>
          <w:szCs w:val="20"/>
          <w:rtl w:val="0"/>
        </w:rPr>
        <w:t xml:space="preserve">Institución Universitaria Antonio José Camacho — UNIAJC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0"/>
          <w:szCs w:val="20"/>
          <w:rtl w:val="0"/>
        </w:rPr>
        <w:t xml:space="preserve">Facultad de Ingenierías · Programa de Ingeniería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hd w:fill="095292" w:val="clear"/>
        <w:spacing w:after="160" w:before="20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ffffff"/>
          <w:sz w:val="26"/>
          <w:szCs w:val="26"/>
          <w:rtl w:val="0"/>
        </w:rPr>
        <w:t xml:space="preserve">  Proyecto Integrador 2026-2 — VetCare 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8"/>
          <w:szCs w:val="28"/>
          <w:rtl w:val="0"/>
        </w:rPr>
        <w:t xml:space="preserve">Bases de Datos 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b2b2b"/>
          <w:sz w:val="22"/>
          <w:szCs w:val="22"/>
          <w:rtl w:val="0"/>
        </w:rPr>
        <w:t xml:space="preserve">Código FI303215  ·  Grupo 641A-2  ·  Periodo 2026-2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Horario: Lunes 18:00–20:00 (120 min)  ·  Modalidad: Virtual (sesiones por Meet)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0"/>
          <w:szCs w:val="20"/>
          <w:rtl w:val="0"/>
        </w:rPr>
        <w:t xml:space="preserve">Docente: Julian Andres Castaño Espinosa  ·  julianacastano@profesores.uniajc.edu.co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e8f4fa" w:val="clear"/>
        <w:spacing w:after="20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0"/>
          <w:szCs w:val="20"/>
          <w:rtl w:val="0"/>
        </w:rPr>
        <w:t xml:space="preserve">Versión estudiante — Entrega en ExamLab según hitos del plan.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1. Propósito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Diseñar, administrar y optimizar una base de datos relacional avanzada para VetCare DB (clínica veterinaria), integrando seguridad/respaldo, objetos programables (procedimientos, funciones y disparadores), optimización e integración conceptual con una aplicación externa. Hilo conductor ABPr del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Peso: 20% del Corte 3 (Acuerdo pedagógico). El Parcial 3 (15%) y la asistencia (5%) se evalúan por separado.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2. Dominio — VetCare DB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Una clínica veterinaria necesita gestionar mascotas, dueños, veterinarios, citas, historial clínico, insumos/medicamentos y facturación básica. Usted modela y opera la capa de datos avanzada (no se exige una app de escritorio).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Entidades mínimas sugeridas: Dueño, Mascota, Veterinario, Cita, Consulta/Historial, Insumo/Medicamento, DetalleFactura (ajuste el modelo con justificación).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Reglas de negocio: no citar mascotas inactivas; stock de insumos no negativo; auditoría de cambios sensibles (precios, cancelaciones).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Puede ampliar el dominio con 1–2 módulos propios si mantiene coherencia.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3. Entregables obligatorios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Modelo de datos: diagrama ER (draw.io / diagrams.net o Excalidraw) + script DDL.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Administración y seguridad: roles/usuarios (o plan de privilegios), política de respaldo/recuperación documentada.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Objetos programables: ≥2 procedimientos, ≥1 función, ≥2 disparadores con casos de prueba.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Optimización: ≥2 consultas «antes/después» con justificación de índices o reescritura.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Integración: propuesta de cómo una app (API/cliente) consumiría la BD (contrato de operaciones + ejemplo SQL o pseudocódigo de llamada a procedimientos).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Informe breve (PDF o DOCX) + carpeta de scripts SQL + diagrama exportado (PNG/SVG).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Sustentación / presentación (5–8 min) en el cierre del 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4. Hitos y fechas orientativas (Plan 2026-2)</w:t>
      </w:r>
      <w:r w:rsidDel="00000000" w:rsidR="00000000" w:rsidRPr="00000000">
        <w:rPr>
          <w:rtl w:val="0"/>
        </w:rPr>
      </w:r>
    </w:p>
    <w:tbl>
      <w:tblPr>
        <w:tblStyle w:val="Table1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48"/>
        <w:gridCol w:w="2448"/>
        <w:gridCol w:w="2448"/>
        <w:gridCol w:w="2448"/>
        <w:tblGridChange w:id="0">
          <w:tblGrid>
            <w:gridCol w:w="2448"/>
            <w:gridCol w:w="2448"/>
            <w:gridCol w:w="2448"/>
            <w:gridCol w:w="2448"/>
          </w:tblGrid>
        </w:tblGridChange>
      </w:tblGrid>
      <w:tr>
        <w:trPr>
          <w:cantSplit w:val="0"/>
          <w:tblHeader w:val="0"/>
        </w:trPr>
        <w:tc>
          <w:tcPr>
            <w:shd w:fill="095292" w:val="clear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95292" w:val="clear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95292" w:val="clear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95292" w:val="clear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Qué entregar / hacer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Arranque (opcional)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Sesiones 1–5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ago–sep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Definir dominio, borrador ER y alcance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Construcción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Sesiones 6–9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sep–oct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DDL, seguridad, procs/triggers, tuning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Avance PI + integración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Sesión 10 (doble · Clases 11+12)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26/10/2026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Demo parcial + checklist · contrato app ↔ BD y pruebas (cierre: domingo 01/11 23:59)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Casos reales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Sesión 11 (autónoma · Clase 13)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02/11/2026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Aplicar el análisis de casos al PI (cierre: domingo 08/11 23:59)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Parcial 3 · paquete final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Sesión 12 (Clase 14)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09/11/2026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Día de parcial = solo evaluación (presencial). El paquete final cierra el domingo 15/11 23:59; el ensayo y la preparación fueron en la Sesión 10 (Clase 12)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Sustentación / 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Sesión 13 (Clase 15)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16/11/2026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Defensa en vivo del PI + cierre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spacing w:after="8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Nota: la sesión 13 (16/11) cae en festivo, pero por decisión docente es la sesión de sustentaciones: no es autónoma y no es parcial. El Parcial 3 es el 09/11 (sesión 12 · material Clase 14). El paquete final se sube a ExamLab antes del 16/11; ese día solo se defiende.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5. Herramientas (gratis + navegador)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SQL: DB Fiddle, OneCompiler SQL, SQLTest.online o RunSQL.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Procedimientos / PL-SQL: Oracle Live SQL (cuenta free, sin tarjeta).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Diagramas: draw.io / diagrams.net · Excalidraw.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Entregas: Google Docs/Drive o Word Online → subir a ExamLab.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ff8d6" w:val="clear"/>
        <w:spacing w:after="160" w:before="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2b2b2b"/>
          <w:sz w:val="22"/>
          <w:szCs w:val="22"/>
          <w:rtl w:val="0"/>
        </w:rPr>
        <w:t xml:space="preserve">No se exige instalar Oracle/MySQL/PostgreSQL/SQL Server ni Docker en el PC. No se pide cloud IaaS con tarjeta.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6. Criterios de evaluación (rúbrica resumida — 100 pts → 20% del corte)</w:t>
      </w:r>
      <w:r w:rsidDel="00000000" w:rsidR="00000000" w:rsidRPr="00000000">
        <w:rPr>
          <w:rtl w:val="0"/>
        </w:rPr>
      </w:r>
    </w:p>
    <w:tbl>
      <w:tblPr>
        <w:tblStyle w:val="Table2"/>
        <w:tblW w:w="9792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264"/>
        <w:gridCol w:w="3264"/>
        <w:gridCol w:w="3264"/>
        <w:tblGridChange w:id="0">
          <w:tblGrid>
            <w:gridCol w:w="3264"/>
            <w:gridCol w:w="3264"/>
            <w:gridCol w:w="3264"/>
          </w:tblGrid>
        </w:tblGridChange>
      </w:tblGrid>
      <w:tr>
        <w:trPr>
          <w:cantSplit w:val="0"/>
          <w:tblHeader w:val="0"/>
        </w:trPr>
        <w:tc>
          <w:tcPr>
            <w:shd w:fill="095292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95292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Pts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095292" w:val="clear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Modelo + DDL coherente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ER + scripts ejecutables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Seguridad y respaldo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Roles/privilegios + plan backup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Procs / funciones / triggers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Código + pruebas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Optimización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Antes/después + 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Integración app ↔ BD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Contrato + ejemplos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2f2f2" w:val="clear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Informe + sustentación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2f2f2" w:val="clear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2b2b2b"/>
                <w:sz w:val="20"/>
                <w:szCs w:val="20"/>
                <w:rtl w:val="0"/>
              </w:rPr>
              <w:t xml:space="preserve">Claridad, demo, respuestas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spacing w:after="80" w:before="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before="240" w:lineRule="auto"/>
        <w:jc w:val="left"/>
        <w:rPr>
          <w:rFonts w:ascii="Calibri" w:cs="Calibri" w:eastAsia="Calibri" w:hAnsi="Calibri"/>
          <w:b w:val="1"/>
          <w:bCs w:val="1"/>
          <w:color w:val="095292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before="240" w:lineRule="auto"/>
        <w:jc w:val="left"/>
        <w:rPr>
          <w:rFonts w:ascii="Calibri" w:cs="Calibri" w:eastAsia="Calibri" w:hAnsi="Calibri"/>
          <w:b w:val="1"/>
          <w:bCs w:val="1"/>
          <w:color w:val="095292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before="240" w:lineRule="auto"/>
        <w:jc w:val="left"/>
        <w:rPr>
          <w:rFonts w:ascii="Calibri" w:cs="Calibri" w:eastAsia="Calibri" w:hAnsi="Calibri"/>
          <w:b w:val="1"/>
          <w:bCs w:val="1"/>
          <w:color w:val="095292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before="240" w:lineRule="auto"/>
        <w:jc w:val="left"/>
        <w:rPr>
          <w:rFonts w:ascii="Calibri" w:cs="Calibri" w:eastAsia="Calibri" w:hAnsi="Calibri"/>
          <w:b w:val="1"/>
          <w:bCs w:val="1"/>
          <w:color w:val="095292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7. Modalidad de trabajo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Individual por defecto: cada estudiante desarrolla y entrega su propio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Opcional: el docente puede autorizar equipos de 2 o 3 integrantes.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Debes poder explicar cualquier parte en la sustentación (si hay equipo, cualquier integrante).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La entrega en ExamLab es siempre individual, incluso si el artefacto se trabajó en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before="240" w:lineRule="auto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95292"/>
          <w:sz w:val="24"/>
          <w:szCs w:val="24"/>
          <w:rtl w:val="0"/>
        </w:rPr>
        <w:t xml:space="preserve">8. Qué NO es este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No sustituye el Parcial 3 (evaluación síncrona presencial del 09/11).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No es una app GUI completa: el foco es la capa de datos avanzada.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b2b2b"/>
          <w:sz w:val="22"/>
          <w:szCs w:val="22"/>
          <w:u w:val="none"/>
          <w:shd w:fill="auto" w:val="clear"/>
          <w:vertAlign w:val="baseline"/>
          <w:rtl w:val="0"/>
        </w:rPr>
        <w:t xml:space="preserve">No se copia un enunciado de otra institución: el dominio es VetCare DB UNIAJC.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08" w:top="1008" w:left="1224" w:right="122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pR6zP5XSlg+iEyaaO5wCrXUhsg==">CgMxLjA4AHIhMTY2R2pXUzRjRzNZOWtIZ3dKNFlXNlV5Rkh0WVVNTjBP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