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Documento de diseno · VetCare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69CCB"/>
          <w:sz w:val="20"/>
        </w:rPr>
        <w:t>Seminario de Sistemas · Grupo 341C · Periodo 2026-2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Plantilla: reemplacen cada texto en gris por el del equipo y borren esta linea.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Portada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Nombre del equipo, integrantes (nombre y codigo de cada uno), caso de matricula (A o C), curso, grupo y fecha.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Requisitos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Cada requisito, verificable: si no se puede comprobar, es un deseo.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RF o RNF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Como se verifica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Frase del cliente que lo origina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Casos de uso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Pegue el diagrama y especifique el caso principal: actor, precondicion, flujo normal y flujos alternos.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Diagrama de clases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Pegue el diagrama: clases del dominio, atributos y relaciones con su multiplicidad.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Diagrama dinamico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Actividad o secuencia del flujo critico: registrar, buscar y ver el historial.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Diccionario de datos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Cada dato que guarda el sistema. Debajo de la tabla, el formato de almacenamiento: la estructura del CSV o un modelo entidad-relacion basico.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Obligatorio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Regla o formato</w:t>
            </w:r>
          </w:p>
        </w:tc>
        <w:tc>
          <w:tcPr>
            <w:tcW w:type="dxa" w:w="195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Mockup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7F7F7F"/>
          <w:sz w:val="20"/>
        </w:rPr>
        <w:t>El enlace al mockup navegable (Figma, Penpot o Balsamiq) y la lista de pantallas que cubre.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