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Plan de pruebas · VetCare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69CCB"/>
          <w:sz w:val="20"/>
        </w:rPr>
        <w:t>Seminario de Sistemas · Grupo 341C · Periodo 2026-2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Plantilla: reemplacen cada texto en gris por el del equipo y borren esta linea.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Casos de prueba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Un caso por requisito critico, trazado a su RF.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195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Requisito (RF)</w:t>
            </w:r>
          </w:p>
        </w:tc>
        <w:tc>
          <w:tcPr>
            <w:tcW w:type="dxa" w:w="195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Pasos</w:t>
            </w:r>
          </w:p>
        </w:tc>
        <w:tc>
          <w:tcPr>
            <w:tcW w:type="dxa" w:w="195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Resultado esperado</w:t>
            </w:r>
          </w:p>
        </w:tc>
        <w:tc>
          <w:tcPr>
            <w:tcW w:type="dxa" w:w="195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Resultado obtenido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  <w:tr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  <w:tr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  <w:tr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195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</w:tbl>
    <w:p>
      <w:pPr>
        <w:spacing w:after="80" w:before="0"/>
        <w:jc w:val="left"/>
      </w:pP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