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FI303301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 (no deseos vagos) y la coherencia entre casos de uso y diagrama de clases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cada integrante sube el .zip + enlace del equipo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(PDF o DOCX)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al mockup navegable (Figma/Penpot) o PDF exportado.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 con casos trazados 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dentro del .zip, Y el enlace a la carpeta de Drive o al repositorio: los dos son obligatorios.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equipo de 4 a 5 integrantes (máximo 5). Cada integrante sube el .zip del equipo desde su cuenta: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jueves 19/11 (mismo dia del Parcial 3), por Meet: 15 minutos de exposición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