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pPr>
        <w:pStyle w:val="ListBullet2"/>
      </w:pPr>
      <w:r>
        <w:rPr>
          <w:b w:val="0"/>
          <w:color w:val="4A4A49"/>
          <w:sz w:val="22"/>
        </w:rPr>
        <w:t>Esa frase tiene decision, 2 criterios y las 2 mitades del trade-off.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Antes del ejemplo conviene fijar las tres reglas con las que se corrige el diagrama, porque cada una tiene puntos asignados y las tres se pierden por descuido y no por no saber.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se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17] C4Container en Mermaid: la sintaxis que se renderiza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Dos exigencias mas, que valen puntos y se pierden sin darse cuenta.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28] Los tres riesgos de distribuir, y por que son esos tres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«Se cae todo» vale la mitad de los puntos, y con razon: en un sistema bien partido nunca se cae todo, y el ejercicio consiste precisamente en descubrir que algunas cosas sobreviven.</w:t>
      </w:r>
    </w:p>
    <w:p>
      <w:r>
        <w:rPr>
          <w:b/>
          <w:color w:val="4A4A49"/>
          <w:sz w:val="22"/>
        </w:rPr>
        <w:t>[Slide 29] Los tres riesgos de distribuir, y por que son esos tres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Los tres riesgos de distribuir, y por que son esos tres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No; esta mal hacerlo sin saber que se eligio, y un monolito modular bien argumentado recibe mejor calificacion que cinco servicios sin razon.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El C4 Container en Mermaid: la forma que un visor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35] Lo que importa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Lo que importa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40]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