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4 vinetas.</w:t>
      </w:r>
    </w:p>
    <w:p>
      <w:pPr>
        <w:pStyle w:val="ListBullet2"/>
      </w:pPr>
      <w:r>
        <w:rPr>
          <w:b w:val="0"/>
          <w:color w:val="4A4A49"/>
          <w:sz w:val="22"/>
        </w:rPr>
        <w:t>Fuera de la lamina (habla de la practica): El entregable de hoy es una tabla de cuatro columnas, Contexto, Fallo, Leccion y Cambio en VetCare, con tres casos, y se sube a PostgreSQL en el navegador.</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4 vinetas.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9] Caso uno: el respaldo que nunca se restauro (GitLab, 2017) (2/2)</w:t>
      </w:r>
      <w:r>
        <w:rPr>
          <w:b w:val="0"/>
          <w:color w:val="4A4A49"/>
          <w:sz w:val="22"/>
        </w:rPr>
        <w:t xml:space="preserve"> — 3 vinetas.</w:t>
      </w:r>
    </w:p>
    <w:p>
      <w:r>
        <w:rPr>
          <w:b/>
          <w:color w:val="4A4A49"/>
          <w:sz w:val="22"/>
        </w:rPr>
        <w:t>[Slide 10] Caso dos: permisos excesivos (Capital One, 2019) (1/2)</w:t>
      </w:r>
      <w:r>
        <w:rPr>
          <w:b w:val="0"/>
          <w:color w:val="4A4A49"/>
          <w:sz w:val="22"/>
        </w:rPr>
        <w:t xml:space="preserve"> — 3 vinetas.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4 vinetas.</w:t>
      </w:r>
    </w:p>
    <w:p>
      <w:pPr>
        <w:pStyle w:val="ListBullet2"/>
      </w:pPr>
      <w:r>
        <w:rPr>
          <w:b w:val="0"/>
          <w:color w:val="4A4A49"/>
          <w:sz w:val="22"/>
        </w:rPr>
        <w:t>Caso tres, perdida de datos durante una migracion.</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5 vinetas.</w:t>
      </w:r>
    </w:p>
    <w:p>
      <w:pPr>
        <w:pStyle w:val="ListBullet2"/>
      </w:pPr>
      <w:r>
        <w:rPr>
          <w:b w:val="0"/>
          <w:color w:val="4A4A49"/>
          <w:sz w:val="22"/>
        </w:rPr>
        <w:t>Caso cuatro, concurrencia.</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Lecciones accionables: los cuatro elementos verificables (1/3)</w:t>
      </w:r>
      <w:r>
        <w:rPr>
          <w:b w:val="0"/>
          <w:color w:val="4A4A49"/>
          <w:sz w:val="22"/>
        </w:rPr>
        <w:t xml:space="preserve"> — 4 vinetas.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pPr>
        <w:pStyle w:val="ListBullet2"/>
      </w:pPr>
      <w:r>
        <w:rPr>
          <w:b w:val="0"/>
          <w:color w:val="4A4A49"/>
          <w:sz w:val="22"/>
        </w:rPr>
        <w:t>Fuera de la lamina (habla de la practica):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color w:val="4A4A49"/>
          <w:sz w:val="22"/>
        </w:rPr>
        <w:t>[Slide 17] Lecciones accionables: los cuatro elementos verificables (2/3)</w:t>
      </w:r>
      <w:r>
        <w:rPr>
          <w:b w:val="0"/>
          <w:color w:val="4A4A49"/>
          <w:sz w:val="22"/>
        </w:rPr>
        <w:t xml:space="preserve"> — 5 vinetas.</w:t>
      </w:r>
    </w:p>
    <w:p>
      <w:r>
        <w:rPr>
          <w:b/>
          <w:color w:val="4A4A49"/>
          <w:sz w:val="22"/>
        </w:rPr>
        <w:t>[Slide 18] Lecciones accionables: los cuatro elementos verificables (3/3)</w:t>
      </w:r>
      <w:r>
        <w:rPr>
          <w:b w:val="0"/>
          <w:color w:val="4A4A49"/>
          <w:sz w:val="22"/>
        </w:rPr>
        <w:t xml:space="preserve"> — 3 vinetas.</w:t>
      </w:r>
    </w:p>
    <w:p>
      <w:r>
        <w:rPr>
          <w:b/>
          <w:color w:val="4A4A49"/>
          <w:sz w:val="22"/>
        </w:rPr>
        <w:t>[Slide 19] Leer un plan de ejecucion ajeno</w:t>
      </w:r>
      <w:r>
        <w:rPr>
          <w:b w:val="0"/>
          <w:color w:val="4A4A49"/>
          <w:sz w:val="22"/>
        </w:rPr>
        <w:t xml:space="preserve"> — 13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Lecciones accionables: los cuatro elementos verificables (1/3)</w:t>
      </w:r>
    </w:p>
    <w:p>
      <w:pPr>
        <w:pStyle w:val="ListNumber"/>
      </w:pPr>
      <w:r>
        <w:rPr>
          <w:b w:val="0"/>
          <w:color w:val="4A4A49"/>
          <w:sz w:val="22"/>
        </w:rPr>
        <w:t>Lecciones accionables: los cuatro elementos verificables (2/3)</w:t>
      </w:r>
    </w:p>
    <w:p>
      <w:pPr>
        <w:pStyle w:val="ListNumber"/>
      </w:pPr>
      <w:r>
        <w:rPr>
          <w:b w:val="0"/>
          <w:color w:val="4A4A49"/>
          <w:sz w:val="22"/>
        </w:rPr>
        <w:t>Lecciones accionables: los cuatro elementos verificables (3/3)</w:t>
      </w:r>
    </w:p>
    <w:p>
      <w:pPr>
        <w:pStyle w:val="ListNumber"/>
      </w:pPr>
      <w:r>
        <w:rPr>
          <w:b w:val="0"/>
          <w:color w:val="4A4A49"/>
          <w:sz w:val="22"/>
        </w:rPr>
        <w:t>Leer un plan de ejecucion ajeno</w:t>
      </w:r>
    </w:p>
    <w:p>
      <w:pPr>
        <w:pStyle w:val="ListNumber"/>
      </w:pPr>
      <w:r>
        <w:rPr>
          <w:b w:val="0"/>
          <w:color w:val="4A4A49"/>
          <w:sz w:val="22"/>
        </w:rPr>
        <w:t>Demo del dia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