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pPr>
        <w:pStyle w:val="ListBullet2"/>
      </w:pPr>
      <w:r>
        <w:rPr>
          <w:b w:val="0"/>
          <w:color w:val="4A4A49"/>
          <w:sz w:val="22"/>
        </w:rPr>
        <w:t>Fuera de la lamina (habla de la practica): Esta clase se dicta en sesion virtual sincrona, en el bloque normal de 120 minutos: hay explicacion en vivo, taller acompanado y espacio para preguntar, asi que este texto es el material con el que el docente dicta y no una lectura que sustituya la clase.</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4 vinetas.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7] Privilegio: la unidad atomica, y la frontera DDL/DML (2/2)</w:t>
      </w:r>
      <w:r>
        <w:rPr>
          <w:b w:val="0"/>
          <w:color w:val="4A4A49"/>
          <w:sz w:val="22"/>
        </w:rPr>
        <w:t xml:space="preserve"> — 4 vinetas.</w:t>
      </w:r>
    </w:p>
    <w:p>
      <w:r>
        <w:rPr>
          <w:b/>
          <w:color w:val="4A4A49"/>
          <w:sz w:val="22"/>
        </w:rPr>
        <w:t>[Slide 8] Rol: por que existe, con la aritmetica en el tablero (1/2)</w:t>
      </w:r>
      <w:r>
        <w:rPr>
          <w:b w:val="0"/>
          <w:color w:val="4A4A49"/>
          <w:sz w:val="22"/>
        </w:rPr>
        <w:t xml:space="preserve"> — 4 vinetas.</w:t>
      </w:r>
    </w:p>
    <w:p>
      <w:pPr>
        <w:pStyle w:val="ListBullet2"/>
      </w:pPr>
      <w:r>
        <w:rPr>
          <w:b w:val="0"/>
          <w:color w:val="4A4A49"/>
          <w:sz w:val="22"/>
        </w:rPr>
        <w:t>Existe por una razon aritmetica que conviene poner en el tablero con los numeros de VetCare.</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Rol: por que existe, con la aritmetica en el tablero (2/2)</w:t>
      </w:r>
      <w:r>
        <w:rPr>
          <w:b w:val="0"/>
          <w:color w:val="4A4A49"/>
          <w:sz w:val="22"/>
        </w:rPr>
        <w:t xml:space="preserve"> — 4 vinetas.</w:t>
      </w:r>
    </w:p>
    <w:p>
      <w:r>
        <w:rPr>
          <w:b/>
          <w:color w:val="4A4A49"/>
          <w:sz w:val="22"/>
        </w:rPr>
        <w:t>[Slide 10] En PostgreSQL usuario y rol son lo mismo, y por eso hoy se escribe NOLOGIN (1/2)</w:t>
      </w:r>
      <w:r>
        <w:rPr>
          <w:b w:val="0"/>
          <w:color w:val="4A4A49"/>
          <w:sz w:val="22"/>
        </w:rPr>
        <w:t xml:space="preserve"> — 4 vinetas.</w:t>
      </w:r>
    </w:p>
    <w:p>
      <w:pPr>
        <w:pStyle w:val="ListBullet2"/>
      </w:pPr>
      <w:r>
        <w:rPr>
          <w:b w:val="0"/>
          <w:color w:val="4A4A49"/>
          <w:sz w:val="22"/>
        </w:rPr>
        <w:t>Por eso los cuatro roles de la clase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11] En PostgreSQL usuario y rol son lo mismo, y por eso hoy se escribe NOLOGIN (2/2)</w:t>
      </w:r>
      <w:r>
        <w:rPr>
          <w:b w:val="0"/>
          <w:color w:val="4A4A49"/>
          <w:sz w:val="22"/>
        </w:rPr>
        <w:t xml:space="preserve"> — 2 vinetas.</w:t>
      </w:r>
    </w:p>
    <w:p>
      <w:r>
        <w:rPr>
          <w:b/>
          <w:color w:val="4A4A49"/>
          <w:sz w:val="22"/>
        </w:rPr>
        <w:t>[Slide 12] Minimo privilegio aplicado a VetCare: la matriz defendible</w:t>
      </w:r>
      <w:r>
        <w:rPr>
          <w:b w:val="0"/>
          <w:color w:val="4A4A49"/>
          <w:sz w:val="22"/>
        </w:rPr>
        <w:t xml:space="preserve"> — 5 vinetas.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VetCare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13] Separacion de funciones: el ejemplo de la factura (1/2)</w:t>
      </w:r>
      <w:r>
        <w:rPr>
          <w:b w:val="0"/>
          <w:color w:val="4A4A49"/>
          <w:sz w:val="22"/>
        </w:rPr>
        <w:t xml:space="preserve"> — 3 vinetas.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pPr>
        <w:pStyle w:val="ListBullet2"/>
      </w:pPr>
      <w:r>
        <w:rPr>
          <w:b w:val="0"/>
          <w:color w:val="4A4A49"/>
          <w:sz w:val="22"/>
        </w:rPr>
        <w:t>Ningun rol puede a la vez crear, modificar y aprobar el mismo registro.</w:t>
      </w:r>
    </w:p>
    <w:p>
      <w:r>
        <w:rPr>
          <w:b/>
          <w:color w:val="4A4A49"/>
          <w:sz w:val="22"/>
        </w:rPr>
        <w:t>[Slide 14] Separacion de funciones: el ejemplo de la factura (2/2)</w:t>
      </w:r>
      <w:r>
        <w:rPr>
          <w:b w:val="0"/>
          <w:color w:val="4A4A49"/>
          <w:sz w:val="22"/>
        </w:rPr>
        <w:t xml:space="preserve"> — 3 vinetas.</w:t>
      </w:r>
    </w:p>
    <w:p>
      <w:r>
        <w:rPr>
          <w:b/>
          <w:color w:val="4A4A49"/>
          <w:sz w:val="22"/>
        </w:rPr>
        <w:t>[Slide 15] GRANT y REVOKE: la sintaxis exacta que se va a escribir hoy (1/2)</w:t>
      </w:r>
      <w:r>
        <w:rPr>
          <w:b w:val="0"/>
          <w:color w:val="4A4A49"/>
          <w:sz w:val="22"/>
        </w:rPr>
        <w:t xml:space="preserve"> — 4 vinetas.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 la clase.</w:t>
      </w:r>
    </w:p>
    <w:p>
      <w:pPr>
        <w:pStyle w:val="ListBullet2"/>
      </w:pPr>
      <w:r>
        <w:rPr>
          <w:b w:val="0"/>
          <w:color w:val="4A4A49"/>
          <w:sz w:val="22"/>
        </w:rPr>
        <w:t>Fuera de la lamina (habla de la practica): 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16] GRANT y REVOKE: la sintaxis exacta que se va a escribir hoy (2/2)</w:t>
      </w:r>
      <w:r>
        <w:rPr>
          <w:b w:val="0"/>
          <w:color w:val="4A4A49"/>
          <w:sz w:val="22"/>
        </w:rPr>
        <w:t xml:space="preserve"> — 4 vinetas.</w:t>
      </w:r>
    </w:p>
    <w:p>
      <w:r>
        <w:rPr>
          <w:b/>
          <w:color w:val="4A4A49"/>
          <w:sz w:val="22"/>
        </w:rPr>
        <w:t>[Slide 17] GRANT y REVOKE: la sintaxis exacta que se va... — sintaxis</w:t>
      </w:r>
      <w:r>
        <w:rPr>
          <w:b w:val="0"/>
          <w:color w:val="4A4A49"/>
          <w:sz w:val="22"/>
        </w:rPr>
        <w:t xml:space="preserve"> — 2 vinetas.</w:t>
      </w:r>
    </w:p>
    <w:p>
      <w:r>
        <w:rPr>
          <w:b/>
          <w:color w:val="4A4A49"/>
          <w:sz w:val="22"/>
        </w:rPr>
        <w:t>[Slide 18] WITH GRANT OPTION y PUBLIC: los dos que hacen dano sin avisar</w:t>
      </w:r>
      <w:r>
        <w:rPr>
          <w:b w:val="0"/>
          <w:color w:val="4A4A49"/>
          <w:sz w:val="22"/>
        </w:rPr>
        <w:t xml:space="preserve"> — 5 vinetas.</w:t>
      </w:r>
    </w:p>
    <w:p>
      <w:pPr>
        <w:pStyle w:val="ListBullet2"/>
      </w:pPr>
      <w:r>
        <w:rPr>
          <w:b w:val="0"/>
          <w:color w:val="4A4A49"/>
          <w:sz w:val="22"/>
        </w:rPr>
        <w:t>Hay dos mecanismos que conviene conocer porque hacen dano en silencio.</w:t>
      </w:r>
    </w:p>
    <w:p>
      <w:r>
        <w:rPr>
          <w:b/>
          <w:color w:val="4A4A49"/>
          <w:sz w:val="22"/>
        </w:rPr>
        <w:t>[Slide 19] Cuando el GRANT es demasiado: vista y privilegio por columna (1/2)</w:t>
      </w:r>
      <w:r>
        <w:rPr>
          <w:b w:val="0"/>
          <w:color w:val="4A4A49"/>
          <w:sz w:val="22"/>
        </w:rPr>
        <w:t xml:space="preserve"> — 5 vinetas.</w:t>
      </w:r>
    </w:p>
    <w:p>
      <w:pPr>
        <w:pStyle w:val="ListBullet2"/>
      </w:pPr>
      <w:r>
        <w:rPr>
          <w:b w:val="0"/>
          <w:color w:val="4A4A49"/>
          <w:sz w:val="22"/>
        </w:rPr>
        <w:t>Aqui esta el concepto que hace la diferencia entre una matriz de aficionado y una defendible.</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pPr>
        <w:pStyle w:val="ListBullet2"/>
      </w:pPr>
      <w:r>
        <w:rPr>
          <w:b w:val="0"/>
          <w:color w:val="4A4A49"/>
          <w:sz w:val="22"/>
        </w:rPr>
        <w:t>Fuera de la lamina (habla de la practica): Aqui esta el concepto que hace la diferencia entre una matriz de aficionado y una defendible, y es la parte que el taller evalua con veinte puntos.</w:t>
      </w:r>
    </w:p>
    <w:p>
      <w:r>
        <w:rPr>
          <w:b/>
          <w:color w:val="4A4A49"/>
          <w:sz w:val="22"/>
        </w:rPr>
        <w:t>[Slide 20] Cuando el GRANT es demasiado: vista y privilegio por columna (2/2)</w:t>
      </w:r>
      <w:r>
        <w:rPr>
          <w:b w:val="0"/>
          <w:color w:val="4A4A49"/>
          <w:sz w:val="22"/>
        </w:rPr>
        <w:t xml:space="preserve"> — 2 vinetas.</w:t>
      </w:r>
    </w:p>
    <w:p>
      <w:r>
        <w:rPr>
          <w:b/>
          <w:color w:val="4A4A49"/>
          <w:sz w:val="22"/>
        </w:rPr>
        <w:t>[Slide 21] Cuando el GRANT es demasiado: vista y... — sintaxis</w:t>
      </w:r>
      <w:r>
        <w:rPr>
          <w:b w:val="0"/>
          <w:color w:val="4A4A49"/>
          <w:sz w:val="22"/>
        </w:rPr>
        <w:t xml:space="preserve"> — 1 vinetas.</w:t>
      </w:r>
    </w:p>
    <w:p>
      <w:r>
        <w:rPr>
          <w:b/>
          <w:color w:val="4A4A49"/>
          <w:sz w:val="22"/>
        </w:rPr>
        <w:t>[Slide 22] La matriz como hecho verificable: information_schema</w:t>
      </w:r>
      <w:r>
        <w:rPr>
          <w:b w:val="0"/>
          <w:color w:val="4A4A49"/>
          <w:sz w:val="22"/>
        </w:rPr>
        <w:t xml:space="preserve"> — 4 vinetas.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Fuera de la lamina (habla de la practica): 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23] La matriz como hecho verificable:... — sintaxis</w:t>
      </w:r>
      <w:r>
        <w:rPr>
          <w:b w:val="0"/>
          <w:color w:val="4A4A49"/>
          <w:sz w:val="22"/>
        </w:rPr>
        <w:t xml:space="preserve"> — 3 vinetas.</w:t>
      </w:r>
    </w:p>
    <w:p>
      <w:r>
        <w:rPr>
          <w:b/>
          <w:color w:val="4A4A49"/>
          <w:sz w:val="22"/>
        </w:rPr>
        <w:t>[Slide 24] La politica de altas y bajas: el ciclo de vida de una cuenta (1/3)</w:t>
      </w:r>
      <w:r>
        <w:rPr>
          <w:b w:val="0"/>
          <w:color w:val="4A4A49"/>
          <w:sz w:val="22"/>
        </w:rPr>
        <w:t xml:space="preserve"> — 4 vinetas.</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pPr>
        <w:pStyle w:val="ListBullet2"/>
      </w:pPr>
      <w:r>
        <w:rPr>
          <w:b w:val="0"/>
          <w:color w:val="4A4A49"/>
          <w:sz w:val="22"/>
        </w:rPr>
        <w:t>Fuera de la lamina (habla de la practica): La diapositiva trae las cinco secciones en el mismo orden en que el taller las va a pedir, asi que se dicta recorriendola de arriba abajo.</w:t>
      </w:r>
    </w:p>
    <w:p>
      <w:pPr>
        <w:pStyle w:val="ListBullet2"/>
      </w:pPr>
      <w:r>
        <w:rPr>
          <w:b w:val="0"/>
          <w:color w:val="4A4A49"/>
          <w:sz w:val="22"/>
        </w:rPr>
        <w:t>Fuera de la lamina (habla de la practica): La quinta seccion es el limite de este entorno, y se desarrolla completa en «El motor de hoy es PostgreSQL» un poco mas abajo; lo que se califica ahi no es que la prueba negativa exista, sino que el estudiante sepa nombrarla como brecha de verificacion de su propia entrega.</w:t>
      </w:r>
    </w:p>
    <w:p>
      <w:pPr>
        <w:pStyle w:val="ListBullet2"/>
      </w:pPr>
      <w:r>
        <w:rPr>
          <w:b w:val="0"/>
          <w:color w:val="4A4A49"/>
          <w:sz w:val="22"/>
        </w:rPr>
        <w:t>Fuera de la lamina (habla de la practica): Una politica que no dice quien firma ni en cuanto tiempo no es una politica, es una intencion, y asi esta escrita la rubrica.</w:t>
      </w:r>
    </w:p>
    <w:p>
      <w:r>
        <w:rPr>
          <w:b/>
          <w:color w:val="4A4A49"/>
          <w:sz w:val="22"/>
        </w:rPr>
        <w:t>[Slide 25] La politica de altas y bajas: el ciclo de vida de una cuenta (2/3)</w:t>
      </w:r>
      <w:r>
        <w:rPr>
          <w:b w:val="0"/>
          <w:color w:val="4A4A49"/>
          <w:sz w:val="22"/>
        </w:rPr>
        <w:t xml:space="preserve"> — 4 vinetas.</w:t>
      </w:r>
    </w:p>
    <w:p>
      <w:r>
        <w:rPr>
          <w:b/>
          <w:color w:val="4A4A49"/>
          <w:sz w:val="22"/>
        </w:rPr>
        <w:t>[Slide 26] La politica de altas y bajas: el ciclo de vida de una cuenta (3/3)</w:t>
      </w:r>
      <w:r>
        <w:rPr>
          <w:b w:val="0"/>
          <w:color w:val="4A4A49"/>
          <w:sz w:val="22"/>
        </w:rPr>
        <w:t xml:space="preserve"> — 4 vinetas.</w:t>
      </w:r>
    </w:p>
    <w:p>
      <w:r>
        <w:rPr>
          <w:b/>
          <w:color w:val="4A4A49"/>
          <w:sz w:val="22"/>
        </w:rPr>
        <w:t>[Slide 27] El motor de hoy es PostgreSQL, y eso decide que se puede demostrar (1/2)</w:t>
      </w:r>
      <w:r>
        <w:rPr>
          <w:b w:val="0"/>
          <w:color w:val="4A4A49"/>
          <w:sz w:val="22"/>
        </w:rPr>
        <w:t xml:space="preserve"> — 5 vinetas.</w:t>
      </w:r>
    </w:p>
    <w:p>
      <w:pPr>
        <w:pStyle w:val="ListBullet2"/>
      </w:pPr>
      <w:r>
        <w:rPr>
          <w:b w:val="0"/>
          <w:color w:val="4A4A49"/>
          <w:sz w:val="22"/>
        </w:rPr>
        <w:t>Ahi CREATE ROLE, GRANT, REVOKE, CREATE VIEW, los privilegios por columna y las consultas a information_schema funcionan todos: son DDL real y son verificables, asi que la evidencia de la clase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pPr>
        <w:pStyle w:val="ListBullet2"/>
      </w:pPr>
      <w:r>
        <w:rPr>
          <w:b w:val="0"/>
          <w:color w:val="4A4A49"/>
          <w:sz w:val="22"/>
        </w:rPr>
        <w:t>Fuera de la lamina (habla de la practica): Este punto hay que decirlo con precision porque una version anterior de esta guia decia lo contrario y costaria puntos repetirla.</w:t>
      </w:r>
    </w:p>
    <w:p>
      <w:pPr>
        <w:pStyle w:val="ListBullet2"/>
      </w:pPr>
      <w:r>
        <w:rPr>
          <w:b w:val="0"/>
          <w:color w:val="4A4A49"/>
          <w:sz w:val="22"/>
        </w:rPr>
        <w:t>Fuera de la lamina (habla de la practica): Dos, si el entorno del dia no permite cambiar de rol, no hay que esconderlo — se muestra el mensaje, y entonces si aparece la brecha de verificacion que la pregunta 5 pide nombrar.</w:t>
      </w:r>
    </w:p>
    <w:p>
      <w:r>
        <w:rPr>
          <w:b/>
          <w:color w:val="4A4A49"/>
          <w:sz w:val="22"/>
        </w:rPr>
        <w:t>[Slide 28] El motor de hoy es PostgreSQL, y eso decide que se puede demostrar (2/2)</w:t>
      </w:r>
      <w:r>
        <w:rPr>
          <w:b w:val="0"/>
          <w:color w:val="4A4A49"/>
          <w:sz w:val="22"/>
        </w:rPr>
        <w:t xml:space="preserve"> — 3 vinetas.</w:t>
      </w:r>
    </w:p>
    <w:p>
      <w:r>
        <w:rPr>
          <w:b/>
          <w:color w:val="4A4A49"/>
          <w:sz w:val="22"/>
        </w:rPr>
        <w:t>[Slide 29] El motor de hoy es PostgreSQL, y eso decide... — sintaxis</w:t>
      </w:r>
      <w:r>
        <w:rPr>
          <w:b w:val="0"/>
          <w:color w:val="4A4A49"/>
          <w:sz w:val="22"/>
        </w:rPr>
        <w:t xml:space="preserve"> — 6 vinetas.</w:t>
      </w:r>
    </w:p>
    <w:p>
      <w:r>
        <w:rPr>
          <w:b/>
          <w:color w:val="4A4A49"/>
          <w:sz w:val="22"/>
        </w:rPr>
        <w:t>[Slide 30] La matriz es la decision, no el script (1/2)</w:t>
      </w:r>
      <w:r>
        <w:rPr>
          <w:b w:val="0"/>
          <w:color w:val="4A4A49"/>
          <w:sz w:val="22"/>
        </w:rPr>
        <w:t xml:space="preserve"> — 5 vinetas.</w:t>
      </w:r>
    </w:p>
    <w:p>
      <w:r>
        <w:rPr>
          <w:b/>
          <w:color w:val="4A4A49"/>
          <w:sz w:val="22"/>
        </w:rPr>
        <w:t>[Slide 31] La matriz es la decision, no el script (2/2)</w:t>
      </w:r>
      <w:r>
        <w:rPr>
          <w:b w:val="0"/>
          <w:color w:val="4A4A49"/>
          <w:sz w:val="22"/>
        </w:rPr>
        <w:t xml:space="preserve"> — 2 vinetas.</w:t>
      </w:r>
    </w:p>
    <w:p>
      <w:r>
        <w:rPr>
          <w:b/>
          <w:color w:val="4A4A49"/>
          <w:sz w:val="22"/>
        </w:rPr>
        <w:t>[Slide 32] Como amarra con las clases vecinas y con la rubrica del PI</w:t>
      </w:r>
      <w:r>
        <w:rPr>
          <w:b w:val="0"/>
          <w:color w:val="4A4A49"/>
          <w:sz w:val="22"/>
        </w:rPr>
        <w:t xml:space="preserve"> — 5 vinetas.</w:t>
      </w:r>
    </w:p>
    <w:p>
      <w:pPr>
        <w:pStyle w:val="ListBullet2"/>
      </w:pPr>
      <w:r>
        <w:rPr>
          <w:b w:val="0"/>
          <w:color w:val="4A4A49"/>
          <w:sz w:val="22"/>
        </w:rPr>
        <w:t>Fuera de la lamina (habla de la practica): Lo de hoy no es una isla, y decirlo en voz alta le da sentido al entregable.</w:t>
      </w:r>
    </w:p>
    <w:p>
      <w:pPr>
        <w:pStyle w:val="ListBullet2"/>
      </w:pPr>
      <w:r>
        <w:rPr>
          <w:b w:val="0"/>
          <w:color w:val="4A4A49"/>
          <w:sz w:val="22"/>
        </w:rPr>
        <w:t>Fuera de la lamina (habla de la practica): La Clase 4 agrega disparadores de auditoria y el plan de respaldo, que son el otro componente de este mismo criterio de rubrica.</w:t>
      </w:r>
    </w:p>
    <w:p>
      <w:pPr>
        <w:pStyle w:val="ListBullet2"/>
      </w:pPr>
      <w:r>
        <w:rPr>
          <w:b w:val="0"/>
          <w:color w:val="4A4A49"/>
          <w:sz w:val="22"/>
        </w:rPr>
        <w:t>Fuera de la lamina (habla de la practica): En la rubrica del PI, seguridad y respaldo valen 15 de los 100 puntos.</w:t>
      </w:r>
    </w:p>
    <w:p>
      <w:r>
        <w:rPr>
          <w:b/>
          <w:color w:val="4A4A49"/>
          <w:sz w:val="22"/>
        </w:rPr>
        <w:t>[Slide 33] Preguntas frecuentes del grupo (1/2)</w:t>
      </w:r>
      <w:r>
        <w:rPr>
          <w:b w:val="0"/>
          <w:color w:val="4A4A49"/>
          <w:sz w:val="22"/>
        </w:rPr>
        <w:t xml:space="preserve"> — 5 vinetas.</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r>
        <w:rPr>
          <w:b/>
          <w:color w:val="4A4A49"/>
          <w:sz w:val="22"/>
        </w:rPr>
        <w:t>[Slide 34] Preguntas frecuentes del grupo (2/2)</w:t>
      </w:r>
      <w:r>
        <w:rPr>
          <w:b w:val="0"/>
          <w:color w:val="4A4A49"/>
          <w:sz w:val="22"/>
        </w:rPr>
        <w:t xml:space="preserve"> — 5 vinetas.</w:t>
      </w:r>
    </w:p>
    <w:p>
      <w:r>
        <w:rPr>
          <w:b/>
          <w:color w:val="4A4A49"/>
          <w:sz w:val="22"/>
        </w:rPr>
        <w:t>[Slide 35] Preguntas frecuentes del grupo — sintaxis</w:t>
      </w:r>
      <w:r>
        <w:rPr>
          <w:b w:val="0"/>
          <w:color w:val="4A4A49"/>
          <w:sz w:val="22"/>
        </w:rPr>
        <w:t xml:space="preserve"> — 1 vinetas.</w:t>
      </w:r>
    </w:p>
    <w:p>
      <w:r>
        <w:rPr>
          <w:b/>
          <w:color w:val="4A4A49"/>
          <w:sz w:val="22"/>
        </w:rPr>
        <w:t>[Slide 36] Crear el rol y otorgar solo lo que el cargo usa</w:t>
      </w:r>
      <w:r>
        <w:rPr>
          <w:b w:val="0"/>
          <w:color w:val="4A4A49"/>
          <w:sz w:val="22"/>
        </w:rPr>
        <w:t xml:space="preserve"> — 10 vinetas.</w:t>
      </w:r>
    </w:p>
    <w:p>
      <w:r>
        <w:rPr>
          <w:b/>
          <w:color w:val="4A4A49"/>
          <w:sz w:val="22"/>
        </w:rPr>
        <w:t>[Slide 37] REVOKE, y los dos que hacen dano en silencio</w:t>
      </w:r>
      <w:r>
        <w:rPr>
          <w:b w:val="0"/>
          <w:color w:val="4A4A49"/>
          <w:sz w:val="22"/>
        </w:rPr>
        <w:t xml:space="preserve"> — 10 vinetas.</w:t>
      </w:r>
    </w:p>
    <w:p>
      <w:r>
        <w:rPr>
          <w:b/>
          <w:color w:val="4A4A49"/>
          <w:sz w:val="22"/>
        </w:rPr>
        <w:t>[Slide 38] Cuando el GRANT sobra: vista y privilegio por columna</w:t>
      </w:r>
      <w:r>
        <w:rPr>
          <w:b w:val="0"/>
          <w:color w:val="4A4A49"/>
          <w:sz w:val="22"/>
        </w:rPr>
        <w:t xml:space="preserve"> — 13 vinetas.</w:t>
      </w:r>
    </w:p>
    <w:p>
      <w:r>
        <w:rPr>
          <w:b/>
          <w:color w:val="4A4A49"/>
          <w:sz w:val="22"/>
        </w:rPr>
        <w:t>[Slide 39] La matriz como hecho verificable, no como documento</w:t>
      </w:r>
      <w:r>
        <w:rPr>
          <w:b w:val="0"/>
          <w:color w:val="4A4A49"/>
          <w:sz w:val="22"/>
        </w:rPr>
        <w:t xml:space="preserve"> — 11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 (1/2)</w:t>
      </w:r>
    </w:p>
    <w:p>
      <w:pPr>
        <w:pStyle w:val="ListNumber"/>
      </w:pPr>
      <w:r>
        <w:rPr>
          <w:b w:val="0"/>
          <w:color w:val="4A4A49"/>
          <w:sz w:val="22"/>
        </w:rPr>
        <w:t>Rol: por que existe, con la aritmetica en el tablero (2/2)</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VetCare: la matriz defendible</w:t>
      </w:r>
    </w:p>
    <w:p>
      <w:pPr>
        <w:pStyle w:val="ListNumber"/>
      </w:pPr>
      <w:r>
        <w:rPr>
          <w:b w:val="0"/>
          <w:color w:val="4A4A49"/>
          <w:sz w:val="22"/>
        </w:rPr>
        <w:t>Separacion de funciones: el ejemplo de la factura (1/2)</w:t>
      </w:r>
    </w:p>
    <w:p>
      <w:pPr>
        <w:pStyle w:val="ListNumber"/>
      </w:pPr>
      <w:r>
        <w:rPr>
          <w:b w:val="0"/>
          <w:color w:val="4A4A49"/>
          <w:sz w:val="22"/>
        </w:rPr>
        <w:t>Separacion de funciones: el ejemplo de la factura (2/2)</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GRANT y REVOKE: la sintaxis exacta que se va... — sintaxis</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Cuando el GRANT es demasiado: vista y... — sintaxis</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 sintaxis</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(1/2)</w:t>
      </w:r>
    </w:p>
    <w:p>
      <w:pPr>
        <w:pStyle w:val="ListNumber"/>
      </w:pPr>
      <w:r>
        <w:rPr>
          <w:b w:val="0"/>
          <w:color w:val="4A4A49"/>
          <w:sz w:val="22"/>
        </w:rPr>
        <w:t>El motor de hoy es PostgreSQL, y eso decide que se puede demostrar (2/2)</w:t>
      </w:r>
    </w:p>
    <w:p>
      <w:pPr>
        <w:pStyle w:val="ListNumber"/>
      </w:pPr>
      <w:r>
        <w:rPr>
          <w:b w:val="0"/>
          <w:color w:val="4A4A49"/>
          <w:sz w:val="22"/>
        </w:rPr>
        <w:t>El motor de hoy es PostgreSQL, y eso decide... — sintaxis</w:t>
      </w:r>
    </w:p>
    <w:p>
      <w:pPr>
        <w:pStyle w:val="ListNumber"/>
      </w:pPr>
      <w:r>
        <w:rPr>
          <w:b w:val="0"/>
          <w:color w:val="4A4A49"/>
          <w:sz w:val="22"/>
        </w:rPr>
        <w:t>La matriz es la decision, no el script (1/2)</w:t>
      </w:r>
    </w:p>
    <w:p>
      <w:pPr>
        <w:pStyle w:val="ListNumber"/>
      </w:pPr>
      <w:r>
        <w:rPr>
          <w:b w:val="0"/>
          <w:color w:val="4A4A49"/>
          <w:sz w:val="22"/>
        </w:rPr>
        <w:t>La matriz es la decision, no el script (2/2)</w:t>
      </w:r>
    </w:p>
    <w:p>
      <w:pPr>
        <w:pStyle w:val="ListNumber"/>
      </w:pPr>
      <w:r>
        <w:rPr>
          <w:b w:val="0"/>
          <w:color w:val="4A4A49"/>
          <w:sz w:val="22"/>
        </w:rPr>
        <w:t>Como amarra con las clases vecinas y con el PI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Preguntas frecuentes del grupo — sintaxis</w:t>
      </w:r>
    </w:p>
    <w:p>
      <w:pPr>
        <w:pStyle w:val="ListNumber"/>
      </w:pPr>
      <w:r>
        <w:rPr>
          <w:b w:val="0"/>
          <w:color w:val="4A4A49"/>
          <w:sz w:val="22"/>
        </w:rPr>
        <w:t>Crear el rol y otorgar solo lo que el cargo usa</w:t>
      </w:r>
    </w:p>
    <w:p>
      <w:pPr>
        <w:pStyle w:val="ListNumber"/>
      </w:pPr>
      <w:r>
        <w:rPr>
          <w:b w:val="0"/>
          <w:color w:val="4A4A49"/>
          <w:sz w:val="22"/>
        </w:rPr>
        <w:t>REVOKE, y los dos que hacen dano en silencio</w:t>
      </w:r>
    </w:p>
    <w:p>
      <w:pPr>
        <w:pStyle w:val="ListNumber"/>
      </w:pPr>
      <w:r>
        <w:rPr>
          <w:b w:val="0"/>
          <w:color w:val="4A4A49"/>
          <w:sz w:val="22"/>
        </w:rPr>
        <w:t>Cuando el GRANT sobra: vista y privilegio por columna</w:t>
      </w:r>
    </w:p>
    <w:p>
      <w:pPr>
        <w:pStyle w:val="ListNumber"/>
      </w:pPr>
      <w:r>
        <w:rPr>
          <w:b w:val="0"/>
          <w:color w:val="4A4A49"/>
          <w:sz w:val="22"/>
        </w:rPr>
        <w:t>La matriz como hecho verificable, no como documento</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Administracion de BD · Roles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43]</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2 - Administracion de bases de datos/Taller PI - Clase 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Plan de roles/privilegios de VetCare</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44]</w:t>
      </w:r>
    </w:p>
    <w:p>
      <w:r>
        <w:rPr>
          <w:b/>
          <w:color w:val="4A4A49"/>
          <w:sz w:val="22"/>
        </w:rPr>
        <w:t>Decir:</w:t>
      </w:r>
      <w:r>
        <w:rPr>
          <w:b w:val="0"/>
          <w:color w:val="4A4A49"/>
          <w:sz w:val="22"/>
        </w:rPr>
        <w:t xml:space="preserve"> «Queda visto: Administracion de BD · Roles VetCare. Si hicimos la practica, la guia y la entrega estan en la carpeta de la clase.»</w:t>
      </w:r>
    </w:p>
    <w:p>
      <w:r>
        <w:rPr>
          <w:b w:val="0"/>
          <w:color w:val="4A4A49"/>
          <w:sz w:val="22"/>
        </w:rPr>
        <w:t>Proyectar [Slide 44]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