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Integrador — Bases de Datos II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Patrón heredado de Prog. II / Seminario: PI continuo ABPr; su peso en la nota lo fija el Acuerdo pedagógico de cada semestre. Enunciados viejos viven como .gdoc en Clase 1; aquí se materializa en Clases/Proyecto Integrador/ (estudiante) + Kit docente/Proyecto Integrador/.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Alineación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Seguridad y respaldo → roles, privilegios, plan de backup/restore.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Procedimientos y disparadores → procs, funciones, triggers con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Optimización → índices, reescritura, evidencia antes/después.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(por clase del material; las fechas están en el calendario del semestre)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Clase(s)</w:t>
            </w:r>
          </w:p>
        </w:tc>
        <w:tc>
          <w:tcPr>
            <w:tcW w:type="dxa" w:w="748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11 y 12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Revisión de avance con checklist viva + empujar integración app↔BD y casos de prueba</w:t>
            </w:r>
          </w:p>
        </w:tc>
      </w:tr>
      <w:tr>
        <w:tc>
          <w:tcPr>
            <w:tcW w:type="dxa" w:w="23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13</w:t>
            </w:r>
          </w:p>
        </w:tc>
        <w:tc>
          <w:tcPr>
            <w:tcW w:type="dxa" w:w="748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Publicar el caso real y revisar la entrega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 de la última clase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ExamLab, en la fecha y la hora que usted publique: cada integrante sube el .zip + enlace del equipo</w:t>
            </w:r>
          </w:p>
        </w:tc>
      </w:tr>
      <w:tr>
        <w:tc>
          <w:tcPr>
            <w:tcW w:type="dxa" w:w="23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 (la última)</w:t>
            </w:r>
          </w:p>
        </w:tc>
        <w:tc>
          <w:tcPr>
            <w:tcW w:type="dxa" w:w="748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Sustentaciones en turnos de 20 min (15 + 5), preguntas y cierre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el que usted publique allí, el mismo para todos los grupos. Un solo archivo .zip —dentro puede ir cualquier tipo de archivo; máximo 50 MB—, y el repositorio de GitHub o la carpeta de Drive del equipo, con los mismos archivos (obligatorio). Los estudiantes tienen la carpeta «Plantilla de entrega» con la forma exacta del .zip.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Proyecto en equipo (el número de integrantes lo indica usted cada semestre) —solo el proyecto: los demás entregables conservan su modalidad—. </w:t>
      </w: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en la última clase del curso, 15 minutos de exposición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deben mostrar: ejecutar en vivo un procedimiento y un disparador con sus casos de prueba, y una consulta antes y después de optimizarla.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Qué revisar en el .zip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Pieza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debe traer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Informe.docx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secciones de la plantilla: portada con integrantes, modelo, seguridad y respaldo (con el plan de respaldo y recuperación), objetos programables, optimización, integración app ↔ BD y cómo correr los scripts.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 ER.png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entidades del caso Huellitas (ver el anexo), con sus llaves y cardinalidades. Coincide con el DDL.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01_ddl.sql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Todas las tablas, con llaves primarias y foráneas y las restricciones de las reglas del negocio.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02_roles_y_privilegios.sql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2 roles con privilegios distintos.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03_programables.sql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2 procedimientos, 1 función y 2 disparadores, cada uno con su caso de prueba.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04_optimizacion.sql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2 consultas con su EXPLAIN antes y después, y el índice o la reescritura que las mejora.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capturas/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salida de cada script y de cada caso de prueba.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 (sobre 100; se lleva al peso que fija el Acuerdo pedagógico)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Modelo/DDL (20): normalización razonable, FK, constraints, nombres claros.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Seguridad/respaldo (15): al menos 2 roles con privilegios distintos; RPO/RTO en lenguaje simple; procedimiento de restore descrito.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Programables (25): triggers de auditoría o integridad; procs de negocio (agendar cita, registrar consulta, descontar stock).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 (15): EXPLAIN o narrativa equivalente en playground; índices justificados.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 (10): operaciones CRUD vía procs; no hace falta desplegar API real.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Informe+sustentación (15): 15 min de exposición + 5 de preguntas; preguntas cruzadas al azar sobre cualquier parte del trabajo.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 la sustentación, además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Reparto del guion por bloques temáticos y quién del equipo presenta qué.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Post-clase Padlet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usó Padlet en Clase 1: ⋯ → Clear posts → código → Delete (reutilizar cupo gratis).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