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2 — ADR modelo de servicio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modelo IaaS/PaaS/SaaS define quién opera SO, runtime y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ADR, el PI no puede justificar trade-offs en sustentación ni en parciales.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Decidir modelo dominante (IaaS/PaaS/SaaS) para CloudLite + ADR breve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ADR-001: decisión de modelo de servicio + matriz de comparación aplicada al dominio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 la ficha/C4 de Clase 1 (mismo dominio).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MVP académico típico: PaaS conceptual + SaaS satélite (auth/email).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las diapositivas y el enunciado del PI (Clases/Proyecto Integrador).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Complete una matriz IaaS/PaaS/SaaS vs su dominio (control, costo cualitativo, operación, time-to-demo).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 ADR-001 (decisión dominante + 2 alternativas descartadas).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Actualice el informe PI (sección «Modelo de servicio»).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 en **ExamLab** (Talleres) — mismo doc del PI o anexo.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decisión nombra un modelo dominante (no un poco de todo)?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al menos dos alternativas descartadas con razón?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¿Consecuencias incluyen operación, costo y aprendizaje?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(examlab.lovable.app/app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