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el modelo VetCare, ¿qué diferencia PK de FK?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No hay diferencia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PK identifica la fila; FK referencia otra PK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FK solo sirve para índices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PK es solo texto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¿Cuáles son entidades mínimas típicas del PI VetCare?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Solo Factura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Dueño, Mascota, Cita (y relacionadas)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logs de servidor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Solo usuarios LMS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El ER del PI se entrega en draw.io (PNG/SVG) como evidencia visual, no solo como párrafo.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Normalización 1–3FN se aplica en el PI solo donde aporta al modelo VetCare (no teoría aislada).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Regla de negocio típica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Mascota inactiva puede agendar sin control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Stock puede ser negativo sin auditar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Mascota inactiva no agenda; stock ≥ 0; auditoría sensible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Sin reglas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El diagnóstico de Clase 1 evalúa logística del Campus Virtual, no saberes previos de BD I.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Nombre 3 entidades de su ER VetCare y una FK entre dos de ellas.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Escriba en una frase el alcance SI / NO de su PI esta semana.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