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 — Arranque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ER minimo Dueño-Mascota-Cita + 3 reglas + alcance.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1 - Revision BD I y arranque VetCare/Taller PI - Clase 1 -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Arranque PI: dominio, alcance y borrador ER de VetCare DB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Ficha de equipo + ER borrador (PNG) + lista de entidades/reglas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Formar equipo de 2-3 y nombrarlo VetCare-&lt;apellido del lider&gt; para identificarlo en todas las entregas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las entidades minimas del dominio: Dueño (persona que trae la mascota), Mascota (paciente), Veterinario (quien atiende), Cita (agenda de una atencion). Consulta, Insumo y DetalleFactura se agregan en clases posteriores.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como reglas de negocio explicitas (no solo mencionarlas): "una mascota con activa=N no puede tener una cita nueva", "el stock de un insumo nunca puede quedar en negativo", "toda cancelacion de cita queda registrada con usuario y fecha".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marcando cardinalidad en cada relacion (Dueño 1-N Mascota, Mascota 1-N Cita) y exportarlo como PNG legible, no un boceto a mano ilegible.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el alcance en dos listas explicitas: que SI cubre el PI este semestre (agenda, facturacion basica, roles) y que NO cubre (ej. pagos en linea, historial clinico completo) para evitar scope creep en clases futuras.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DDL: Kit docente/Clase 1/Codigo/01_arranque_vetcare.sql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ER: Dueño 1-N Mascota; Mascota 1-N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Codigo/01_arranque_vetcare.sql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Equipo (1)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ER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Reglas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Alcance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Entrega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genérico.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FK.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Scope infinito.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