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· Clase 14 · Parcial 3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Enunciado/solucion: Parciales/Parcial 3 - Integracion casos y cierre de proyecto.docx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abierto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 (Campus / PDF).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10 min; revisiones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Cierre, recoleccion, recordatorio: PI se prepara en clases regulares (no hoy).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PI / sustentacion: Clases 11-12; cierre PI: Clase 15.</w:t>
      </w:r>
    </w:p>
    <w:p>
      <w:pPr>
        <w:pStyle w:val="ListBullet"/>
      </w:pPr>
      <w:r>
        <w:rPr>
          <w:b w:val="0"/>
          <w:color w:val="4A4A49"/>
          <w:sz w:val="22"/>
        </w:rPr>
        <w:t>Solucion privada: archivo * SOLUCION.docx en Parciales/.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