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escenario de carga del pico de su dominio con 3 metricas objetivo numericas, el presupuesto de latencia repartido por salto en un diagrama de secuencia y el guion cronometrado del pitch de sustentacion.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carga del pico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Presupuesto de latencia del camino critico.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metricas objetivo verificables.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Cuello de botella y mitigaciones.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cronometrado del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Rendimiento: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