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(diapositivas 5-8)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LabEx Docker Playground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es autonoma por festivo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dominio, capacidades, actores y boceto C4 Context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pPr>
        <w:spacing w:before="200" w:after="60"/>
      </w:pPr>
      <w:r>
        <w:rPr>
          <w:b/>
          <w:color w:val="1A1C1D"/>
          <w:sz w:val="32"/>
        </w:rPr>
        <w:t>55–100 · Taller guiado PI (individual)</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escriba en la pregunta de tipo diagrama de ExamLab el C4 Context en Mermaid con exactamente 1 System para CloudLite, 2 Person, 2 System_Ext y 5 relaciones etiquetadas con verbo de negocio y protocolo, verificando al renderizar dentro de la plataforma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(https://examlab.lovable.app/).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