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LabEx Docker Playground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r>
        <w:rPr>
          <w:b w:val="0"/>
          <w:color w:val="4A4A49"/>
          <w:sz w:val="22"/>
        </w:rPr>
        <w:t xml:space="preserve">Referencia de slides: </w:t>
      </w:r>
      <w:r>
        <w:rPr>
          <w:rFonts w:ascii="Consolas" w:hAnsi="Consolas"/>
          <w:color w:val="111111"/>
          <w:sz w:val="21"/>
        </w:rPr>
        <w:t>Clases/Clase 10 - Costos y sostenibilidad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Number"/>
      </w:pPr>
      <w:r>
        <w:rPr>
          <w:b w:val="0"/>
          <w:color w:val="4A4A49"/>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Number"/>
      </w:pPr>
      <w:r>
        <w:rPr>
          <w:b w:val="0"/>
          <w:color w:val="4A4A49"/>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Number"/>
      </w:pPr>
      <w:r>
        <w:rPr>
          <w:b w:val="0"/>
          <w:color w:val="4A4A49"/>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Number"/>
      </w:pPr>
      <w:r>
        <w:rPr>
          <w:b w:val="0"/>
          <w:color w:val="4A4A49"/>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