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Parcial 3 — Rendimiento, escalabilidad y cierre de proyecto — SOLUCIÓN / CLAVE</w:t>
      </w:r>
    </w:p>
    <w:p>
      <w:pPr>
        <w:spacing w:after="120" w:before="160" w:line="240" w:lineRule="auto"/>
        <w:jc w:val="center"/>
      </w:pPr>
      <w:r>
        <w:rPr>
          <w:rFonts w:ascii="Calibri" w:hAnsi="Calibri" w:eastAsia="Calibri"/>
          <w:b/>
          <w:color w:val="095292"/>
          <w:sz w:val="28"/>
        </w:rPr>
        <w:t>Arquitectura de Sistemas Computacionales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FI303380  ·  Grupo 6303C  ·  Periodo 2026-2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Parcial 3 — Corte 3  ·  Valor en el corte: 15% del Corte 3 (40%)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Fecha: 09/11/2026  ·  Sesión 12 de 13  ·  Modalidad: Presencial (síncrono)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 del bloque: Lunes 10:00 – 12:00  ·  Tiempo sugerido: 90–100 minutos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 w:line="240" w:lineRule="auto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0"/>
        </w:rPr>
        <w:t>DOCUMENTO DOCENTE — No distribuir a estudiantes. Incluye clave y rúbrica breve.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Temas evaluados en este parcial (Plan de curso 2026-2)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Corte 3 (Sesiones 10-13) · Únicamente clases dictadas antes del 09/11/2026 (Clases 11, 12 y 13 del material; la sesión doble del 26/10 cubrió las Clases 11 y 12 y la sesión autónoma del 02/11 fue la Clase 13). La Clase 14 es la sesión del parcial y la Clase 15 (16/11) es la sustentación del Proyecto Integrador, posterior: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Lista explícita de temas evaluados (solo estos; no se preguntan temas de otros cortes):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11 · 26/10 · Avance del proyecto final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12 · 26/10 · Pruebas de rendimiento · Preparación de presentación final (sesión doble)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Clase 13 · 02/11 · Escalabilidad automática (sesión autónoma)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Instrucciones generales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Lea con atención cada sección antes de responder. Escriba con letra clara.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parcial se califica sobre 100 puntos. Nota sobre 5.0 = (puntos obtenidos / 100) × 5.0.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 se permite el uso de dispositivos electrónicos salvo indicación explícita del docente.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Justifique las respuestas de desarrollo. En ejercicios de código o SQL, la claridad y la corrección cuentan.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Este parcial evalúa únicamente los temas del corte indicado. El desglose del Acuerdo (30%/30%/40%) se aplica a nivel de corte, no dentro de este documento.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Duración sugerida: 90–100 minutos dentro del bloque de 120 minutos.</w:t>
      </w:r>
    </w:p>
    <w:p>
      <w:pPr>
        <w:spacing w:after="120" w:before="240" w:line="240" w:lineRule="auto"/>
        <w:jc w:val="left"/>
      </w:pPr>
      <w:r>
        <w:rPr>
          <w:rFonts w:ascii="Calibri" w:hAnsi="Calibri" w:eastAsia="Calibri"/>
          <w:b/>
          <w:color w:val="095292"/>
          <w:sz w:val="24"/>
        </w:rPr>
        <w:t>Distribución de puntaje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A. Selección múltiple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B. Emparejamiento — 20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C. Rendimiento y escalabilidad — 25 pts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D. Caso de sustentación arquitectónica — 35 pts</w:t>
      </w:r>
    </w:p>
    <w:p>
      <w:pPr>
        <w:spacing w:after="20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Total: 100 puntos  →  Nota = puntos/20 sobre 5.0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A — Selección múltiple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A1. (5 pts) Una prueba de carga (load test) busca: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Evaluar el comportamiento bajo una carga esperada/concurrencia definida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Solo revisar ortografía del README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Eliminar logs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Cambiar el color de la UI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A2. (5 pts) Escalabilidad horizontal significa típicamente: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Aumentar CPU de una sola máquina únicamente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Añadir más instancias/nodos para repartir carga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Reducir usuarios a la fuerza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Apagar el balanceador siempre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b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A3. (5 pts) El autoescalado (autoscaling) reacciona generalmente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Métricas (CPU, RPS, latencia) según políticas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La fase lunar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El número de diapositivas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Un único valor fijo imposible de cambiar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A4. (5 pts) En la preparación de la presentación final arquitectónica conviene incluir: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Diagrama de arquitectura, decisiones, evidencia de pruebas y trade-offs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Solo el código ofuscado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Ningún diagrama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Credenciales de producción en la lámina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Clave: a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B — Emparejamiento  (20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B1. (20 pts) Empareje tipo de prueba/escalado con su definición.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A: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1) Stress test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2) Spike test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3) Escalabilidad vertical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4) Balanceador de carga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Columna B: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a) Empuja el sistema más allá de la capacidad normal para hallar límites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b) Evalúa picos súbitos de tráfico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c) Aumentar recursos de un mismo nodo (más CPU/RAM)</w:t>
      </w:r>
    </w:p>
    <w:p>
      <w:pPr>
        <w:spacing w:after="2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    d) Distribuye peticiones entre instancias</w:t>
      </w:r>
    </w:p>
    <w:p>
      <w:pPr>
        <w:spacing w:after="80" w:before="0" w:line="240" w:lineRule="auto"/>
        <w:jc w:val="left"/>
      </w:pPr>
      <w:r>
        <w:rPr>
          <w:rFonts w:ascii="Calibri" w:hAnsi="Calibri" w:eastAsia="Calibri"/>
          <w:b/>
          <w:color w:val="095292"/>
          <w:sz w:val="20"/>
        </w:rPr>
        <w:t xml:space="preserve">    → Emparejamiento: 1-a, 2-b, 3-c, 4-d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C — Rendimiento y escalabilidad  (25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C1. (12 pts) Defina 3 métricas de rendimiento que mediría en su API y un umbral de aceptación ejemplo para cada una.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p95 latencia, error rate, throughput; umbrales realistas justificados.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C2. (13 pts) Explique cuándo preferiría escalado vertical vs horizontal y un límite de cada enfoque.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Respuesta esperada / rúbrica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Vertical: simple hasta techo de máquina; horizontal: más nodos, necesita stateless/balanceo.</w:t>
      </w:r>
    </w:p>
    <w:p>
      <w:pPr>
        <w:spacing w:after="200" w:before="240" w:line="240" w:lineRule="auto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SECCIÓN D — Caso de sustentación  (35 puntos)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D1. (35 pts) Elabore el guion de sustentación de su proyecto de Arquitectura (enfoque cloud):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a) Contexto y objetivos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b) Diagrama lógico (describa capas/servicios)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c) Estrategia de pruebas de rendimiento (10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d) Política de escalado automático propuesta (5 pts)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e) Riesgos, limitaciones o trabajo futuro del avance (5 pts)</w:t>
      </w:r>
    </w:p>
    <w:p>
      <w:pPr>
        <w:spacing w:after="80" w:before="160" w:line="240" w:lineRule="auto"/>
        <w:jc w:val="left"/>
      </w:pPr>
      <w:r>
        <w:rPr>
          <w:rFonts w:ascii="Calibri" w:hAnsi="Calibri" w:eastAsia="Calibri"/>
          <w:b/>
          <w:color w:val="269CCB"/>
          <w:sz w:val="22"/>
        </w:rPr>
        <w:t>Solución / rúbrica breve</w:t>
      </w:r>
    </w:p>
    <w:p>
      <w:pPr>
        <w:spacing w:after="40" w:before="0" w:line="240" w:lineRule="auto"/>
        <w:jc w:val="left"/>
      </w:pPr>
      <w:r>
        <w:rPr>
          <w:rFonts w:ascii="Calibri" w:hAnsi="Calibri" w:eastAsia="Calibri"/>
          <w:b w:val="0"/>
          <w:color w:val="2B2B2B"/>
          <w:sz w:val="22"/>
        </w:rPr>
        <w:t>• Coherencia arquitectura-pruebas-escalado; trade-offs claros; sin secretos en láminas.</w:t>
      </w:r>
    </w:p>
    <w:p>
      <w:pPr>
        <w:spacing w:after="120" w:before="320" w:line="240" w:lineRule="auto"/>
        <w:jc w:val="center"/>
      </w:pPr>
      <w:r>
        <w:rPr>
          <w:rFonts w:ascii="Calibri" w:hAnsi="Calibri" w:eastAsia="Calibri"/>
          <w:b w:val="0"/>
          <w:color w:val="269CCB"/>
          <w:sz w:val="18"/>
        </w:rPr>
        <w:t>Fin del parcial — UNIAJC 2026-2 · Julian Andres Castaño · julianacastano@profesores.uniajc.edu.co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