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2 — Optimización, índices, transacciones y concurrencia — SOLUCIÓN / CLAVE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  ·  Grupo 641A-2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2 — Corte 2  ·  Valor en el corte: 10% del Corte 2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19/10/2026  ·  Sesión 9 de 13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Lunes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clave y rúbrica breve.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2 (Sesiones 6-9) · Únicamente clases dictadas antes del 19/10/2026 (Clases 6, 7, 8 y 10 del material; la sesión doble del 05/10 cubrió las Clases 7 y 8 y la sesión autónoma del 12/10 fue la Clase 10). La Clase 9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6 · 28/09 · Optimización de consultas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7 · 05/10 · Índices y particionamiento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8 · 05/10 · Tuning de bases de datos · Gestión de transacciones (sesión doble)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10 · 12/10 · Control de concurrencia (sesión autónoma)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Optimización SQL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transacciones, tuning y concurrencia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(4 pts) Un índice B-Tree típico ayuda principalmente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Eliminar la necesidad de WHERE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Acelerar búsquedas/filtros/ordenamientos sobre columnas indexadas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Reemplazar las transacciones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Garantizar normalización 5FN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(4 pts) EXPLAIN / plan de ejecución se usa para: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Borrar tablas rápidamente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Analizar cómo el optimizador accederá a los datos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Crear usuarios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Compactar el sistema operativo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(4 pts) ACID: la «A» (Atomicity) significa: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Que las transacciones son visibles a medias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Todo o nada: o se confirman todos los cambios o ninguno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Que no hay aislamiento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Que el disco no puede fallar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b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(4 pts) El particionamiento de tablas busca, entre otros: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Dividir grandes volúmenes para administración y rendimiento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Eliminar claves primarias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Prohibir índices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Convertir SQL en NoSQL automáticamente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A5. (4 pts) En VetCare, un reporte de facturación mensual no debe ver consultas veterinarias insertadas por otras transacciones mientras se ejecuta (lectura fantasma). El nivel de aislamiento que lo garantiza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READ UNCOMMITTED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READ COMMITTED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SERIALIZABLE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Ninguno: el nivel de aislamiento no influye en las lecturas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Clave: c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Nota docente: Clase 10 — Control de concurrencia: solo SERIALIZABLE evita lecturas fantasma; READ COMMITTED las permite.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concepto de transacciones, tuning y control de concurrencia (1-4: Clases 7-8 · 5-6: Clase 10). Cada pareja vale 3,33 pts.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COMMIT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ROLLBACK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Índice compuesto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Full table scan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5) Deadlock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6) MVCC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Confirma definitivamente los cambios de la transacción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Deshace cambios no confirmados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Índice sobre varias columnas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Lectura completa de la tabla; a menudo costosa en tablas grandes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e) Dos transacciones se bloquean mutuamente esperando recursos que la otra retiene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f) Cada lectura ve una versión consistente de la fila sin bloquear a los escritores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color w:val="095292"/>
          <w:sz w:val="20"/>
        </w:rPr>
        <w:t xml:space="preserve">    → Emparejamiento: 1-a, 2-b, 3-c, 4-d, 5-e, 6-f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Optimización SQL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(15 pts) Dada la consulta: SELECT * FROM Pedido WHERE fecha &gt;= '2026-01-01' AND cliente_id = 45; proponga 3 mejoras de optimización (índices, proyección de columnas, etc.) y justifique.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Evitar SELECT *; índice (cliente_id, fecha); estadísticas actualizadas; evitar funciones sobre columna filtrada.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5 pts por mejora válida justificada (máx 15).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(10 pts) Explique una ventaja y un costo/riesgo de crear muchos índices en una tabla de alta escritura.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Respuesta esperada / rúbrica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Ventaja: lecturas más rápidas. Costo: más espacio y escrituras más lentas (mantenimiento de índices).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transacciones, tuning y concurrencia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(25 pts) VetCare: al facturar una consulta se debe descontar el lote de vacuna del inventario y registrar el movimiento contable. Las dos escrituras deben ser atómicas.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Escriba pseudocódigo/SQL transaccional (BEGIN/COMMIT/ROLLBACK)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Indique qué pasa si falla el movimiento contable tras descontar el inventario, sin transacción (8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Mencione 2 acciones de tuning si el reporte mensual de facturación se vuelve lento (7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BEGIN; UPDATE inventario_lote SET cantidad = cantidad - 1 …; INSERT INTO movimiento_contable …; COMMIT; ROLLBACK ante error.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Inventario descontado sin respaldo contable: descuadre permanente (pérdida de atomicidad).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Índices en (fecha, sede); particionar por mes; tabla/vista materializada de resumen.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D2. (10 pts) Control de concurrencia en VetCare (Clase 10): dos recepcionistas facturan al mismo tiempo y cada transacción actualiza el lote de vacuna y la ficha del paciente, pero en orden inverso. El motor aborta una con error de deadlock.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Explique por qué se produce el deadlock en este escenario (4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Proponga 2 medidas para evitarlo (orden fijo de acceso a los recursos, transacciones cortas, bloqueo explícito con FOR UPDATE, reintento controlado) (4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Diga qué nivel de aislamiento usaría y qué anomalía evita (2 pts)</w:t>
      </w:r>
    </w:p>
    <w:p>
      <w:pPr>
        <w:spacing w:after="80" w:before="160" w:line="240" w:lineRule="auto"/>
        <w:jc w:val="left"/>
      </w:pPr>
      <w:r>
        <w:rPr>
          <w:rFonts w:ascii="Calibri" w:hAnsi="Calibri" w:eastAsia="Calibri"/>
          <w:b/>
          <w:color w:val="269CCB"/>
          <w:sz w:val="22"/>
        </w:rPr>
        <w:t>Solución / rúbrica breve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Espera circular: T1 retiene el bloqueo del lote y pide la ficha; T2 retiene la ficha y pide el lote. Ninguna puede avanzar y el motor sacrifica una (víctima del deadlock).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2 pts por medida válida: ordenar siempre los UPDATE por el mismo recurso, mantener las transacciones cortas (no esperar entrada del usuario dentro de la transacción), SELECT … FOR UPDATE sobre el lote, reintento con backoff en la aplicación.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READ COMMITTED evita lecturas sucias; SERIALIZABLE (o SELECT FOR UPDATE sobre el lote) evita la actualización perdida del inventario. Se acepta cualquiera de las dos con justificación coherente.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