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13 · Control de excepciones · try-catch-finally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VetCare, el usuario escribe 'tres' en el campo edad y el codigo ejecuta Integer.parseInt(txtEdad.getText()). ¿Que excepcion se lanza?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IOException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NumberFormatException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NullPointerException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ArithmeticException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Las excepciones checked obligan al programador a capturarlas con try-catch o a declararlas con throws, y si no lo hace el proyecto no compila.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¿Cuando se ejecuta el bloque finally?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Solo si no hubo excepcion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Solo si hubo excepcion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Siempre, haya o no excepcion, incluso si dentro del try hay un return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Solo cuando se usa try-with-resources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Al leer datos/mascotas.csv se escribe catch (IOException e) antes de catch (FileNotFoundException e). ¿Que ocurre?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Compila y funciona igual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Error de compilacion: 'exception has already been caught', porque FileNotFoundException es hija de IOException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Solo aparece una advertencia amarilla en NetBeans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Compila, pero el archivo se cierra dos veces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throw y throws son sinonimos y se pueden usar indistintamente.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El try-with-resources que usa VetCare para leer el CSV cierra automaticamente los objetos que implementan la interfaz: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Serializable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AutoCloseable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Comparable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Runnable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por que un catch vacio es peligroso en VetCare y mencione dos alternativas correctas.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la firma y las tres validaciones que debe tener setEdad(String) en la clase Mascota antes de asignar el valor.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