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5] La transaccion como unidad de todo o nada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6] Serializar de verdad existe, y cuesta (1/2)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7] Serializar de verdad existe, y cuesta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8] Los tres fenomenos indeseables, en escenas de la clinica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9] Los tres fenomenos indeseables, en escenas de la clinica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10] Los cuatro niveles de aislamiento se definen por lo que permiten (1/2)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11] Los cuatro niveles de aislamiento se definen por lo que permiten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12] Control pesimista: SELECT ... FOR UPDATE</w:t>
      </w:r>
      <w:r>
        <w:rPr>
          <w:b w:val="0"/>
          <w:color w:val="4A4A49"/>
          <w:sz w:val="22"/>
        </w:rPr>
        <w:t xml:space="preserve"> — 8 vinetas.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13] Control optimista: verificar unicamente al escribir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14] Control optimista: verificar unicamente al escribir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Deadlock: la escena de VetCare y como se evita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Deadlock: la escena de VetCare y como se evita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17] Antes de los niveles: la restriccion que cuesta una linea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r>
        <w:rPr>
          <w:b/>
          <w:color w:val="4A4A49"/>
          <w:sz w:val="22"/>
        </w:rPr>
        <w:t>[Slide 18] Antes de los niveles: la restriccion que cuesta una linea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(1/2)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(1/2)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(2/2)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(1/2)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(2/2)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(1/2)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(2/2)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 ... FOR UPDATE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(1/2)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(2/2)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(1/2)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(2/2)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 (1/2)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 (2/2)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pasos guiados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