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pPr>
        <w:spacing w:before="200" w:after="60"/>
      </w:pPr>
      <w:r>
        <w:rPr>
          <w:b/>
          <w:color w:val="1A1C1D"/>
          <w:sz w:val="32"/>
        </w:rPr>
        <w:t>El tercer angulo: que responde el diagrama de despliegue - diapositiva 4</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pPr>
        <w:spacing w:before="200" w:after="60"/>
      </w:pPr>
      <w:r>
        <w:rPr>
          <w:b/>
          <w:color w:val="1A1C1D"/>
          <w:sz w:val="32"/>
        </w:rPr>
        <w:t>IP, puerto y protocolo: las tres etiquetas de cada flecha - diapositiva 5</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Killercoda se ejecuta un contenedor publicando un puerto, esa linea es la decision de que superficie queda expuesta, tema de la Clase 6.</w:t>
      </w:r>
    </w:p>
    <w:p>
      <w:pPr>
        <w:spacing w:before="200" w:after="60"/>
      </w:pPr>
      <w:r>
        <w:rPr>
          <w:b/>
          <w:color w:val="1A1C1D"/>
          <w:sz w:val="32"/>
        </w:rPr>
        <w:t>Subred publica y privada: lo definen las rutas, no el nombre - diapositiva 5</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pPr>
        <w:spacing w:before="200" w:after="60"/>
      </w:pPr>
      <w:r>
        <w:rPr>
          <w:b/>
          <w:color w:val="1A1C1D"/>
          <w:sz w:val="32"/>
        </w:rPr>
        <w:t>DNS y balanceador de carga - diapositiva 5</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pPr>
        <w:spacing w:before="200" w:after="60"/>
      </w:pPr>
      <w:r>
        <w:rPr>
          <w:b/>
          <w:color w:val="1A1C1D"/>
          <w:sz w:val="32"/>
        </w:rPr>
        <w:t>Primer ejemplo: una peticion de CloudLite de punta a punta - diapositiva 8</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pPr>
        <w:spacing w:before="200" w:after="60"/>
      </w:pPr>
      <w:r>
        <w:rPr>
          <w:b/>
          <w:color w:val="1A1C1D"/>
          <w:sz w:val="32"/>
        </w:rPr>
        <w:t>Los cuatro tipos de almacenamiento y como se decide - diapositiva 6</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pPr>
        <w:spacing w:before="200" w:after="60"/>
      </w:pPr>
      <w:r>
        <w:rPr>
          <w:b/>
          <w:color w:val="1A1C1D"/>
          <w:sz w:val="32"/>
        </w:rPr>
        <w:t>Segundo ejemplo: la foto de perfil y el error de diseno que conviene provocar - diapositiva 6</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pPr>
        <w:spacing w:before="200" w:after="60"/>
      </w:pPr>
      <w:r>
        <w:rPr>
          <w:b/>
          <w:color w:val="1A1C1D"/>
          <w:sz w:val="32"/>
        </w:rPr>
        <w:t>Trazabilidad: los nombres deben coincidir con la Clase 4 - diapositiva 7</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pPr>
        <w:spacing w:before="200" w:after="60"/>
      </w:pPr>
      <w:r>
        <w:rPr>
          <w:b/>
          <w:color w:val="1A1C1D"/>
          <w:sz w:val="32"/>
        </w:rPr>
        <w:t>Cierre conceptual y error tipico del docente (de la diapositiva 5 a la diapositiva 7)</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se pierde la trazabilidad, que es el criterio con el que se calificara el paquete integrado de la Clase 11.</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Ejemplo de diagrama de despliegue (Deployment)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7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y repite la demo de este guion.  2) Captura solo la ventana útil, no el escritorio completo.  3) Recorta a ~1200 px de ancho.  4) Guárdala como Kit docente/Clase 7/Capturas/demo-clase07.png.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