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pPr>
        <w:spacing w:before="200" w:after="60"/>
      </w:pPr>
      <w:r>
        <w:rPr>
          <w:b/>
          <w:color w:val="1A1C1D"/>
          <w:sz w:val="32"/>
        </w:rPr>
        <w:t>Sustentar no es describir: el eje de toda la clase - diapositiva 4</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pPr>
        <w:spacing w:before="200" w:after="60"/>
      </w:pPr>
      <w:r>
        <w:rPr>
          <w:b/>
          <w:color w:val="1A1C1D"/>
          <w:sz w:val="32"/>
        </w:rPr>
        <w:t>Las cuatro preguntas de por que que se hacen casi siempre - diapositiva 4</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pPr>
        <w:spacing w:before="200" w:after="60"/>
      </w:pPr>
      <w:r>
        <w:rPr>
          <w:b/>
          <w:color w:val="1A1C1D"/>
          <w:sz w:val="32"/>
        </w:rPr>
        <w:t>La cuarta pregunta, la que mas se falla - diapositiva 4</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pPr>
        <w:spacing w:before="200" w:after="60"/>
      </w:pPr>
      <w:r>
        <w:rPr>
          <w:b/>
          <w:color w:val="1A1C1D"/>
          <w:sz w:val="32"/>
        </w:rPr>
        <w:t>Reproducible: un tercero llega a la misma base sin hablar con el autor - diapositiva 12</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pPr>
        <w:spacing w:before="200" w:after="60"/>
      </w:pPr>
      <w:r>
        <w:rPr>
          <w:b/>
          <w:color w:val="1A1C1D"/>
          <w:sz w:val="32"/>
        </w:rPr>
        <w:t>El reparto de los 5 a 8 minutos - diapositiva 5</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pPr>
        <w:spacing w:before="200" w:after="60"/>
      </w:pPr>
      <w:r>
        <w:rPr>
          <w:b/>
          <w:color w:val="1A1C1D"/>
          <w:sz w:val="32"/>
        </w:rPr>
        <w:t>El Q&amp;A de modelado, con las respuestas listas - diapositiva 5</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pPr>
        <w:spacing w:before="200" w:after="60"/>
      </w:pPr>
      <w:r>
        <w:rPr>
          <w:b/>
          <w:color w:val="1A1C1D"/>
          <w:sz w:val="32"/>
        </w:rPr>
        <w:t>Evaluar con rubrica: puntos a evidencia observable - diapositiva 12</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El cierre del curso: conectar lo hecho con el trabajo real - diapositiva 13</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pPr>
        <w:spacing w:before="200" w:after="60"/>
      </w:pPr>
      <w:r>
        <w:rPr>
          <w:b/>
          <w:color w:val="1A1C1D"/>
          <w:sz w:val="32"/>
        </w:rPr>
        <w:t>Errores tipicos del docente que no domina el tema</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