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r>
        <w:rPr>
          <w:b w:val="0"/>
          <w:color w:val="4A4A49"/>
          <w:sz w:val="22"/>
        </w:rPr>
        <w:t>Esta clase es autonoma: no hay encuentro sincronico y el estudiante trabaja solo con este material, por lo que el texto debe bastar por si mismo y conviene publicarlo tal cual como lectura guiada, junto con la instruccion del entregable. El punto de partida es lo definido en la Clase 1: cada equipo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equipo se compromete a administrar el sistema operativo donde corren la API y la base de datos; en un curso de doce semanas con dos o tres integrantes,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r>
        <w:rPr>
          <w:b w:val="0"/>
          <w:color w:val="4A4A49"/>
          <w:sz w:val="22"/>
        </w:rPr>
        <w:t>El entregable concreto es el ADR-001. Un ADR (Architecture Decision Record, registro de decision arquitectonica) es un documento corto, de media pagina a una pagina, que registra UNA sola decision con cinco secciones fijas: titulo con numero consecutivo, contexto (que problema y que restricciones existen), opciones consideradas, decision tomada y consecuencias. La regla de una decision por documento no es burocracia: es lo que permite que meses despues alguien lea por que se eligio algo sin depender de la memoria de nadie. Un ADR-001 aceptable para CloudLite Turnos diria en contexto: equipo de tres personas, doce semanas, sin presupuesto ni tarjeta de credito, y se requiere que el sistema este disponible el dia de la sustentacion. En opciones: IaaS con maquina virtual propia, descartada porque el equipo asumiria parches y respaldos del sistema operativo sin tiempo para ello; y SaaS de agendamiento ya existente, descartada porque el proyecto perderia su objeto, ya que no habria arquitectura que disenar sino solo configuracion. En decision: PaaS para la API, base de datos gestionada y SaaS para el correo. Y en consecuencias, que es la seccion que los estudiantes dejan vacia, deben aparecer tambien las malas: se acepta un arranque en frio de varios segundos tras inactividad, se acepta no poder afinar el sistema operativo y se acepta un amarre medio al proveedor, mitigado con contenedores.</w:t>
      </w:r>
    </w:p>
    <w:p>
      <w:r>
        <w:rPr>
          <w:b w:val="0"/>
          <w:color w:val="4A4A49"/>
          <w:sz w:val="22"/>
        </w:rPr>
        <w:t>Tres preguntas llegan por escrito en toda clase autonoma y conviene responderlas por anticipado en el mismo material.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su equipo en materia de seguridad, y en la Clase 10 no podra explicar por que su factura hipotetica sube o baja. El segundo error, especifico de una clase autonoma sin encuentro sincronico, es recibir ADR sin consecuencias negativas y darlos por buenos: un ADR que solo lista beneficios no es una decision, es una justificacion escrita despues de los hechos, y el equipo que lo entrega asi llegara a la Clase 11 sin poder explicar ningun trade-off de su arquitectura, que es justamente lo que se le exigira sustentar en la Clase 15.</w:t>
      </w:r>
    </w:p>
    <w:p>
      <w:r>
        <w:rPr>
          <w:b w:val="0"/>
          <w:color w:val="4A4A49"/>
          <w:sz w:val="22"/>
        </w:rPr>
        <w:t xml:space="preserve">Referencia de slides: </w:t>
      </w:r>
      <w:r>
        <w:rPr>
          <w:rFonts w:ascii="Consolas" w:hAnsi="Consolas"/>
          <w:color w:val="111111"/>
          <w:sz w:val="21"/>
        </w:rPr>
        <w:t>Clases/Clase 2 - Modelos de servicio IaaS PaaS SaaS/Presentacion.pptx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2 autónoma (festivo). Hoy avanzamos el PI en: Decidir modelo dominante (IaaS/PaaS/SaaS) para CloudLite + ADR breve.</w:t>
      </w:r>
    </w:p>
    <w:p>
      <w:r>
        <w:rPr>
          <w:b w:val="0"/>
          <w:color w:val="4A4A49"/>
          <w:sz w:val="22"/>
        </w:rPr>
        <w:t>Entregable: ADR-001: decisión de modelo de servicio + matriz de comparación aplicada al dominio.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Llenar un ADR-001 delante del grupo, en 6 lineas</w:t>
      </w:r>
    </w:p>
    <w:p>
      <w:pPr>
        <w:pStyle w:val="ListNumber"/>
      </w:pPr>
      <w:r>
        <w:rPr>
          <w:b w:val="0"/>
          <w:color w:val="4A4A49"/>
          <w:sz w:val="22"/>
        </w:rPr>
        <w:t>Abra un Google Doc y escriba los 4 encabezados del ADR: Contexto, Opciones, Decision, Consecuencias.</w:t>
      </w:r>
    </w:p>
    <w:p>
      <w:pPr>
        <w:pStyle w:val="ListNumber"/>
      </w:pPr>
      <w:r>
        <w:rPr>
          <w:b w:val="0"/>
          <w:color w:val="4A4A49"/>
          <w:sz w:val="22"/>
        </w:rPr>
        <w:t>Contexto: «CloudLite necesita correr una API y una base de datos; el equipo tiene 3 personas y cero presupuesto».</w:t>
      </w:r>
    </w:p>
    <w:p>
      <w:pPr>
        <w:pStyle w:val="ListNumber"/>
      </w:pPr>
      <w:r>
        <w:rPr>
          <w:b w:val="0"/>
          <w:color w:val="4A4A49"/>
          <w:sz w:val="22"/>
        </w:rPr>
        <w:t>Opciones: IaaS (control total, mas trabajo operativo) · PaaS (menos control, menos operacion) · SaaS (no aplica, no compramos software hecho).</w:t>
      </w:r>
    </w:p>
    <w:p>
      <w:pPr>
        <w:pStyle w:val="ListNumber"/>
      </w:pPr>
      <w:r>
        <w:rPr>
          <w:b w:val="0"/>
          <w:color w:val="4A4A49"/>
          <w:sz w:val="22"/>
        </w:rPr>
        <w:t>Decision: PaaS conceptual + contenedores. Consecuencias: se acepta menos control del sistema operativo a cambio de no administrar servidores.</w:t>
      </w:r>
    </w:p>
    <w:p>
      <w:pPr>
        <w:pStyle w:val="ListNumber"/>
      </w:pPr>
      <w:r>
        <w:rPr>
          <w:b w:val="0"/>
          <w:color w:val="4A4A49"/>
          <w:sz w:val="22"/>
        </w:rPr>
        <w:t>Diga: «un ADR de media pagina que se entiende vale mas que 5 paginas que nadie lee».</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Lea las diapositivas y el enunciado del PI (Clases/Proyecto Integrador).</w:t>
      </w:r>
    </w:p>
    <w:p>
      <w:pPr>
        <w:pStyle w:val="ListNumber"/>
      </w:pPr>
      <w:r>
        <w:rPr>
          <w:b w:val="0"/>
          <w:color w:val="4A4A49"/>
          <w:sz w:val="22"/>
        </w:rPr>
        <w:t>Complete una matriz IaaS/PaaS/SaaS vs su dominio (control, costo cualitativo, operación, time-to-demo).</w:t>
      </w:r>
    </w:p>
    <w:p>
      <w:pPr>
        <w:pStyle w:val="ListNumber"/>
      </w:pPr>
      <w:r>
        <w:rPr>
          <w:b w:val="0"/>
          <w:color w:val="4A4A49"/>
          <w:sz w:val="22"/>
        </w:rPr>
        <w:t>Redacte ADR-001 (decisión dominante + 2 alternativas descartadas).</w:t>
      </w:r>
    </w:p>
    <w:p>
      <w:pPr>
        <w:pStyle w:val="ListNumber"/>
      </w:pPr>
      <w:r>
        <w:rPr>
          <w:b w:val="0"/>
          <w:color w:val="4A4A49"/>
          <w:sz w:val="22"/>
        </w:rPr>
        <w:t>Actualice el informe PI (sección «Modelo de servicio»).</w:t>
      </w:r>
    </w:p>
    <w:p>
      <w:pPr>
        <w:pStyle w:val="ListNumber"/>
      </w:pPr>
      <w:r>
        <w:rPr>
          <w:b w:val="0"/>
          <w:color w:val="4A4A49"/>
          <w:sz w:val="22"/>
        </w:rPr>
        <w:t xml:space="preserve">Entrega domingo 23:59 en </w:t>
      </w:r>
      <w:r>
        <w:rPr>
          <w:b/>
          <w:color w:val="4A4A49"/>
          <w:sz w:val="22"/>
        </w:rPr>
        <w:t>ExamLab</w:t>
      </w:r>
      <w:r>
        <w:rPr>
          <w:b w:val="0"/>
          <w:color w:val="4A4A49"/>
          <w:sz w:val="22"/>
        </w:rPr>
        <w:t xml:space="preserve"> (Talleres) — mismo doc del PI o anexo.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