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(draw.io) + elección de storage (objeto/bloque/relacional conceptual)</w:t>
      </w:r>
    </w:p>
    <w:p>
      <w:r>
        <w:rPr>
          <w:b/>
          <w:color w:val="4A4A49"/>
          <w:sz w:val="22"/>
        </w:rPr>
        <w:t>Herramienta:</w:t>
      </w:r>
      <w:r>
        <w:rPr>
          <w:b w:val="0"/>
          <w:color w:val="4A4A49"/>
          <w:sz w:val="22"/>
        </w:rPr>
        <w:t xml:space="preserve"> draw.io</w:t>
      </w:r>
    </w:p>
    <w:p>
      <w:pPr>
        <w:spacing w:before="200" w:after="60"/>
      </w:pPr>
      <w:r>
        <w:rPr>
          <w:b/>
          <w:color w:val="1A1C1D"/>
          <w:sz w:val="32"/>
        </w:rPr>
        <w:t>Fundamento teórico para el docente</w:t>
      </w:r>
    </w:p>
    <w:p>
      <w:r>
        <w:rPr>
          <w:b w:val="0"/>
          <w:color w:val="4A4A49"/>
          <w:sz w:val="22"/>
        </w:rPr>
        <w:t>El diagrama de despliegue responde una pregunta que los diagramas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diagrama de despliegue: en que nodos se ejecutan esos contenedores, en que zona de red esta cada nodo, por que puerto y con que protocolo pasa cada flecha, y donde quedan los datos; responde DONDE. Un nodo es cualquier lugar de ejecucion: una maquina virtual, un host de contenedores, un servicio gestionado. Es el mismo sistema visto desde un tercer angulo, no un sistema nuevo, y por eso los nombres deben coincidir con los de la Clase 4.</w:t>
      </w:r>
    </w:p>
    <w:p>
      <w:r>
        <w:rPr>
          <w:b w:val="0"/>
          <w:color w:val="4A4A49"/>
          <w:sz w:val="22"/>
        </w:rPr>
        <w:t>Para etiquetar ese diagrama hacen falta tres conceptos de red que el docente debe poder definir en una frase. Una direccion IP identifica una maquina dentro de una red. Un puerto es un numero entre 1 y 65535 que identifica a que proceso dentro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6379 para Redis, 27017 para MongoDB, 8080 para aplicaciones en desarrollo. Nada impide correr una base de datos en el 9999, pero cambiar la convencion sin motivo confunde a quien opera. Esto conecta con la Clase 3: cuando en Play with Docker se ejecuta un contenedor publicando un puerto, esa linea es literalmente la decision de que superficie queda expuesta, tema central de la Clase 6.</w:t>
      </w:r>
    </w:p>
    <w:p>
      <w:r>
        <w:rPr>
          <w:b w:val="0"/>
          <w:color w:val="4A4A49"/>
          <w:sz w:val="22"/>
        </w:rPr>
        <w:t>Una subred es una subdivision de una red, y lo que la hace publica o privada no es su nombre sino sus rutas. Una subred publica tiene camino de entrada y de salida hacia internet: alguien de afuera puede iniciar una conexion hacia lo que vive ahi. Una subred privada no tiene camino de entrada desde internet; solo se alcanza desde dentro, aunque normalmente si puede salir a traves de una pasarela de traduccion para descargar actualizaciones. Sobre esa distincion se construye la regla que se evalua hoy: en la zona publica va unicamente el punto de entrada, es decir el balanceador o proxy inverso; la aplicacion va en la zona privada; los datos van en una tercera zona que solo acepta conexiones desde la aplicacion. Aqui llega la primera pregunta previsible: «si la base de datos es privada, como se conecta la API?». Privado significa inalcanzable desde internet, no inalcanzable en absoluto: la API esta dentro de la misma red y llega por el nombre interno y el puerto del motor; quien no puede llegar es el usuario final ni un atacante externo. Si un desarrollador necesita entrar, se hace por un unico host intermedio controlado, llamado bastion.</w:t>
      </w:r>
    </w:p>
    <w:p>
      <w:r>
        <w:rPr>
          <w:b w:val="0"/>
          <w:color w:val="4A4A49"/>
          <w:sz w:val="22"/>
        </w:rPr>
        <w:t>Dos piezas mas hay que explicar sin titubear. El DNS es el directorio distribuido que traduce un nombre legible por humanos, como cloudlite.example, en la direccion IP donde atiende el servicio; el registro tipo A apunta un nombre a una IP y el CNAME apunta un nombre a otro nombre. Cada registro tiene un TTL, los segundos que los demas pueden guardar la respuesta en cache antes de volver a preguntar; los valores tipicos van de 300 a 3600 segundos y su consecuencia practica es que un cambio de direccion no es instantaneo para todo el mundo. El balanceador de carga recibe todas las peticiones y las reparte entre varias instancias iguales del mismo servicio, con algoritmos como round robin (por turnos) o menor numero de conexiones activas. Su funcion menos obvia y mas importante es el chequeo de salud: consulta un endpoint como /health, por convencion cada 10 a 30 segundos, y si falla dos o tres veces seguidas retira esa instancia de la rotacion hasta que vuelva a responder. Es tambien el lugar natural donde termina el TLS, es decir donde se descifra HTTPS.</w:t>
      </w:r>
    </w:p>
    <w:p>
      <w:r>
        <w:rPr>
          <w:b w:val="0"/>
          <w:color w:val="4A4A49"/>
          <w:sz w:val="22"/>
        </w:rPr>
        <w:t>Primer ejemplo concreto, y la mejor forma de dictar la clase: seguir una peticion de CloudLite de punta a punta.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que viven en la zona privada, y le reenvia la peticion por HTTP al puerto 8080; la API consulta el motor de base de datos en la zona de datos por el puerto 5432 y devuelve JSON por el mismo camino. Ese recorrido dibujado en draw.io, con cada flecha etiquetada con protocolo y puerto y cada caja dentro de su zona, ES el entregable. Sirve tambien para citar numeros de referencia: una consulta simple bien indexada responde en unidades de milisegundos, del orden de 1 a 20, y el objetivo de respuesta que se formalizara en la Clase 12 suele fijarse por convencion en menos de 300 milisegundos para el 95 por ciento de las peticiones de una API web. Con eso el grupo ve que si una pantalla dispara veinte consultas encadenadas el problema esta en el diseno, no en el hardware.</w:t>
      </w:r>
    </w:p>
    <w:p>
      <w:r>
        <w:rPr>
          <w:b w:val="0"/>
          <w:color w:val="4A4A49"/>
          <w:sz w:val="22"/>
        </w:rPr>
        <w:t>El almacenamiento se decide por tipo de dato, y hay cuatro categorias que el docente debe distinguir con un ejemplo cada una. El almacenamiento de bloque es un disco crudo que el sistema operativo formatea y monta; se conecta normalmente a una sola instancia a la vez y es lo que hay debajo del volumen de un contenedor o del disco de una maquina virtual; se mide en gigabytes y en IOPS, operaciones de lectura y escritura por segundo. El almacenamiento de archivos es un sistema de archivos compartido que varias instancias montan por red, util cuando varias aplicaciones necesitan la misma carpeta. El almacenamiento de objetos no tiene carpetas reales: es un espacio plano de contenedores llamados buckets donde cada objeto se guarda bajo una clave, se lee y escribe por HTTP, lleva metadatos y se reemplaza completo en vez de editarse por partes; es practicamente ilimitado, muy barato y accesible por URL. Y el almacenamiento de la base de datos guarda registros estructurados con consultas y transacciones. El numero que ordena la decision es el precio relativo: un gigabyte al mes en objetos cuesta del orden de dos a tres centavos de dolar, en disco de bloque cerca de cuatro veces mas, y en base de datos gestionada aun mas porque se paga tambien computo. Son referencias de mercado, no reglas fijas, y aqui no se aprovisiona nada de pago: el valor esta en justificar la eleccion.</w:t>
      </w:r>
    </w:p>
    <w:p>
      <w:r>
        <w:rPr>
          <w:b w:val="0"/>
          <w:color w:val="4A4A49"/>
          <w:sz w:val="22"/>
        </w:rPr>
        <w:t>Segundo ejemplo concreto,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y cada restauracion arrastra esos diez gigabytes, la cache del motor se llena de bytes que ninguna consulta filtra, y la base se vuelve lenta por una razon ajena a su trabajo. El diseno correcto separa: el archivo va a almacenamiento de objetos y la base guarda una fila con la clave o URL del objeto, el dueno, el tamano, el tipo de contenido y la fecha. Eso es el almacenamiento primario mas secundario que pide el entregable. Hay una razon adicional: un contenedor es efimero, lo que se escriba en su sistema de archivos desaparece cuando se reemplaza, y si hay dos instancias detras del balanceador el archivo subido a una no existe en la otra. Mantener los contenedores sin estado es la condicion del escalado horizontal de la Clase 13.</w:t>
      </w:r>
    </w:p>
    <w:p>
      <w:r>
        <w:rPr>
          <w:b w:val="0"/>
          <w:color w:val="4A4A49"/>
          <w:sz w:val="22"/>
        </w:rPr>
        <w:t>Queda la exigencia de trazabilidad, donde mas puntos se pierden: los nombres de las cajas del despliegue deben ser los mismos que los contenedores del C4 Containers de la Clase 4. Si alli el servicio se llamaba api-citas, hoy no puede aparecer como backend ni como servidor principal, ni puede aparecer una caja nueva que nadie declaro. Segunda pregunta previsible: «esto no esta mal por no ser una VPC real de un proveedor?». Lo que se evalua es el razonamiento sobre zonas, puertos y ubicacion de los datos, no la sintaxis de una marca; el curso usa herramientas gratis en navegador y no pide cuenta de pago ni tarjeta, y por eso las slides indican zonas Publica, Privada y Datos en lugar de inventar nombres de subredes de un proveedor. Ubicacion en el curso: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El bloque se evalua en el Parcial 2 de la Clase 9.</w:t>
      </w:r>
    </w:p>
    <w:p>
      <w:r>
        <w:rPr>
          <w:b w:val="0"/>
          <w:color w:val="4A4A49"/>
          <w:sz w:val="22"/>
        </w:rPr>
        <w:t>Error tipico del docente que no domina el tema: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equipo describe su sistema con gestos en vez de senalar componentes. El segundo tropiezo es permitir que el despliegue introduzca nombres y servicios que no existian en el C4 Containers, o dejar la eleccion de almacenamiento sin justificar («usamos base de datos porque es lo normal»). Cuando eso ocurre, el informe describe dos sistemas distintos que se contradicen entre secciones y el equipo pierde la trazabilidad, que es precisamente el criterio con el que se calificara el paquete integrado de la Clase 11.</w:t>
      </w:r>
    </w:p>
    <w:p>
      <w:r>
        <w:rPr>
          <w:b w:val="0"/>
          <w:color w:val="4A4A49"/>
          <w:sz w:val="22"/>
        </w:rPr>
        <w:t xml:space="preserve">Referencia de slides: </w:t>
      </w:r>
      <w:r>
        <w:rPr>
          <w:rFonts w:ascii="Consolas" w:hAnsi="Consolas"/>
          <w:color w:val="111111"/>
          <w:sz w:val="21"/>
        </w:rPr>
        <w:t>Clases/Clase 7 - Redes y almacenamiento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(draw.io) + elección de storage (objeto/bloque/relacional conceptual).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Red lógica para el diagrama</w:t>
      </w:r>
    </w:p>
    <w:p>
      <w:pPr>
        <w:pStyle w:val="ListBullet"/>
      </w:pPr>
      <w:r>
        <w:rPr>
          <w:b w:val="0"/>
          <w:color w:val="4A4A49"/>
          <w:sz w:val="22"/>
        </w:rPr>
        <w:t>Almacenamiento</w:t>
      </w:r>
    </w:p>
    <w:p>
      <w:pPr>
        <w:pStyle w:val="ListBullet"/>
      </w:pPr>
      <w:r>
        <w:rPr>
          <w:b w:val="0"/>
          <w:color w:val="4A4A49"/>
          <w:sz w:val="22"/>
        </w:rPr>
        <w:t>Checklist del diagrama Deployment</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w:t>
      </w:r>
      <w:r>
        <w:rPr>
          <w:b w:val="0"/>
          <w:color w:val="4A4A49"/>
          <w:sz w:val="22"/>
        </w:rPr>
        <w:t>.</w:t>
      </w:r>
    </w:p>
    <w:p>
      <w:r>
        <w:rPr>
          <w:b/>
          <w:color w:val="4A4A49"/>
          <w:sz w:val="22"/>
        </w:rPr>
        <w:t>Demo que usted debe poder repetir:</w:t>
      </w:r>
      <w:r>
        <w:rPr>
          <w:b w:val="0"/>
          <w:color w:val="4A4A49"/>
          <w:sz w:val="22"/>
        </w:rPr>
        <w:t xml:space="preserve"> Dibujar zonas de confianza sobre el diagrama de despliegue</w:t>
      </w:r>
    </w:p>
    <w:p>
      <w:pPr>
        <w:pStyle w:val="ListNumber"/>
      </w:pPr>
      <w:r>
        <w:rPr>
          <w:b w:val="0"/>
          <w:color w:val="4A4A49"/>
          <w:sz w:val="22"/>
        </w:rPr>
        <w:t>En draw.io dibuje dos rectangulos grandes rotulados «Subred publica» y «Subred privada».</w:t>
      </w:r>
    </w:p>
    <w:p>
      <w:pPr>
        <w:pStyle w:val="ListNumber"/>
      </w:pPr>
      <w:r>
        <w:rPr>
          <w:b w:val="0"/>
          <w:color w:val="4A4A49"/>
          <w:sz w:val="22"/>
        </w:rPr>
        <w:t>Ponga el balanceador en la publica y la base de datos en la privada; dibuje la flecha API -&gt; BD cruzando de una a otra.</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Verifique en voz alta que los nombres de los servicios son LOS MISMOS del C4 Containers de la Clase 4.</w:t>
      </w:r>
    </w:p>
    <w:p>
      <w:r>
        <w:rPr>
          <w:b w:val="0"/>
          <w:color w:val="4A4A49"/>
          <w:sz w:val="22"/>
        </w:rPr>
        <w:t xml:space="preserve">Narra los clics en voz alta. Si falla la red, proyecta las capturas de </w:t>
      </w:r>
      <w:r>
        <w:rPr>
          <w:rFonts w:ascii="Consolas" w:hAnsi="Consolas"/>
          <w:color w:val="111111"/>
          <w:sz w:val="21"/>
        </w:rPr>
        <w:t>Kit docente/Clase 7/Capturas/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Diagrama de despliegue: red, zonas, almacenamiento.</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Dibujen Deployment en draw.io (zonas pública/privada/datos).</w:t>
      </w:r>
    </w:p>
    <w:p>
      <w:pPr>
        <w:pStyle w:val="ListNumber"/>
      </w:pPr>
      <w:r>
        <w:rPr>
          <w:b w:val="0"/>
          <w:color w:val="4A4A49"/>
          <w:sz w:val="22"/>
        </w:rPr>
        <w:t>Etiqueten puertos y tipo de storage por componente.</w:t>
      </w:r>
    </w:p>
    <w:p>
      <w:pPr>
        <w:pStyle w:val="ListNumber"/>
      </w:pPr>
      <w:r>
        <w:rPr>
          <w:b w:val="0"/>
          <w:color w:val="4A4A49"/>
          <w:sz w:val="22"/>
        </w:rPr>
        <w:t>Alineen nombres con el diagrama C4 de Clase 4.</w:t>
      </w:r>
    </w:p>
    <w:p>
      <w:pPr>
        <w:pStyle w:val="ListNumber"/>
      </w:pPr>
      <w:r>
        <w:rPr>
          <w:b w:val="0"/>
          <w:color w:val="4A4A49"/>
          <w:sz w:val="22"/>
        </w:rPr>
        <w:t>Actualicen informe: sección Redes y almacenamiento.</w:t>
      </w:r>
    </w:p>
    <w:p>
      <w:pPr>
        <w:pStyle w:val="ListNumber"/>
      </w:pPr>
      <w:r>
        <w:rPr>
          <w:b w:val="0"/>
          <w:color w:val="4A4A49"/>
          <w:sz w:val="22"/>
        </w:rPr>
        <w:t>Entrega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