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13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Analizar un caso real sirve en el PI para: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Copiar el logo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Extraer lecciones de modelo, seguridad o operaciones a VetCare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Evitar evidencias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Eliminar el 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Lección típica transferable a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Ignorar backups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Auditoría, privilegios y consistencia en operaciones críticas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SELECT * siempre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Sin transacciones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Esta clase autónoma pide relacionar el caso con decisiones del propio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Un caso real «bonito» sin amarre a VetCare cumple el entregable.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Salida esperada del análisis: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resumen de noticias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3 lecciones + impacto concreto en su VetCare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emojis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Borrar scripts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Incidentes de datos (fugas, inconsistencias) motivan controles que ya vieron en el curso.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Nombre el caso analizado y 1 riesgo que también tiene VetCare.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¿Qué cambio harán en su PI por esa lección (artefacto concreto)?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