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8 de 11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«no, ahí no, toca acá»</w:t>
      </w:r>
      <w:r>
        <w:rPr>
          <w:b w:val="0"/>
          <w:color w:val="4A4A49"/>
          <w:sz w:val="22"/>
        </w:rPr>
        <w:t xml:space="preserve"> → diapositiva 4</w:t>
      </w:r>
    </w:p>
    <w:p>
      <w:pPr>
        <w:pStyle w:val="ListBullet"/>
      </w:pPr>
      <w:r>
        <w:rPr>
          <w:b/>
          <w:color w:val="4A4A49"/>
          <w:sz w:val="22"/>
        </w:rPr>
        <w:t>Lo que hizo vale más que lo que dijo, y el patrón vale más que el caso</w:t>
      </w:r>
      <w:r>
        <w:rPr>
          <w:b w:val="0"/>
          <w:color w:val="4A4A49"/>
          <w:sz w:val="22"/>
        </w:rPr>
        <w:t xml:space="preserve"> → diapositivas 5 y 7</w:t>
      </w:r>
    </w:p>
    <w:p>
      <w:pPr>
        <w:pStyle w:val="ListBullet"/>
      </w:pPr>
      <w:r>
        <w:rPr>
          <w:b/>
          <w:color w:val="4A4A49"/>
          <w:sz w:val="22"/>
        </w:rPr>
        <w:t>Qué es un avance: cinco minutos que no repiten nada</w:t>
      </w:r>
      <w:r>
        <w:rPr>
          <w:b w:val="0"/>
          <w:color w:val="4A4A49"/>
          <w:sz w:val="22"/>
        </w:rPr>
        <w:t xml:space="preserve"> → diapositiva 8</w:t>
      </w:r>
    </w:p>
    <w:p>
      <w:pPr>
        <w:pStyle w:val="ListBullet"/>
      </w:pPr>
      <w:r>
        <w:rPr>
          <w:b/>
          <w:color w:val="4A4A49"/>
          <w:sz w:val="22"/>
        </w:rPr>
        <w:t>Dar y recibir: la única revisión externa gratis del semestre</w:t>
      </w:r>
      <w:r>
        <w:rPr>
          <w:b w:val="0"/>
          <w:color w:val="4A4A49"/>
          <w:sz w:val="22"/>
        </w:rPr>
        <w:t xml:space="preserve"> → diapositivas 9 y 11</w:t>
      </w:r>
    </w:p>
    <w:p>
      <w:pPr>
        <w:spacing w:before="200" w:after="60"/>
      </w:pPr>
      <w:r>
        <w:rPr>
          <w:b/>
          <w:color w:val="1A1C1D"/>
          <w:sz w:val="32"/>
        </w:rPr>
        <w:t>Desarrollo de la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7][Slide 8][Slide 9][Slide 11]</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7].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8].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9]. Deje esta diapositiva proyectada durante todas las exposiciones.</w:t>
      </w:r>
    </w:p>
    <w:p>
      <w:pPr>
        <w:pStyle w:val="ListBullet"/>
      </w:pPr>
      <w:r>
        <w:rPr>
          <w:b/>
          <w:color w:val="4A4A49"/>
          <w:sz w:val="22"/>
        </w:rPr>
        <w:t>2 min</w:t>
      </w:r>
      <w:r>
        <w:rPr>
          <w:b w:val="0"/>
          <w:color w:val="4A4A49"/>
          <w:sz w:val="22"/>
        </w:rPr>
        <w:t xml:space="preserve"> · Las tres trampas [Slide 11]. Enuncie en voz alta la regla de quien recibe: </w:t>
      </w:r>
      <w:r>
        <w:rPr>
          <w:b/>
          <w:color w:val="4A4A49"/>
          <w:sz w:val="22"/>
        </w:rPr>
        <w:t>anotar, no responder.</w:t>
      </w:r>
    </w:p>
    <w:p>
      <w:pPr>
        <w:spacing w:before="200" w:after="60"/>
      </w:pPr>
      <w:r>
        <w:rPr>
          <w:b/>
          <w:color w:val="1A1C1D"/>
          <w:sz w:val="32"/>
        </w:rPr>
        <w:t>00:28–00:40 · Taller en salas de grupo (12 min) · [Slide 12]</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13]</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14][Slide 15]</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Clase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ind w:left="432"/>
        <w:shd w:val="clear" w:fill="F7F7F8"/>
      </w:pPr>
      <w:r>
        <w:rPr>
          <w:b/>
          <w:i/>
          <w:color w:val="4A4A49"/>
          <w:sz w:val="21"/>
        </w:rPr>
        <w:t>Ejemplos resueltos</w:t>
      </w:r>
      <w:r>
        <w:rPr>
          <w:b w:val="0"/>
          <w:i/>
          <w:color w:val="4A4A49"/>
          <w:sz w:val="21"/>
        </w:rPr>
        <w:t xml:space="preserve"> (láminas 6, 10):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Ejemplo: tres pruebas leídas y clasificadas</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Ejemplo: retroalimentación que no sirve y que sí</w:t>
      </w:r>
    </w:p>
    <w:p>
      <w:pPr>
        <w:pStyle w:val="ListNumber"/>
      </w:pPr>
      <w:r>
        <w:rPr>
          <w:b w:val="0"/>
          <w:color w:val="4A4A49"/>
          <w:sz w:val="22"/>
        </w:rPr>
        <w:t>Tres trampas de la retroalimentación entre pares</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Clase 13</w:t>
      </w:r>
    </w:p>
    <w:p>
      <w:pPr>
        <w:pStyle w:val="ListNumber"/>
      </w:pPr>
      <w:r>
        <w:rPr>
          <w:b w:val="0"/>
          <w:color w:val="4A4A49"/>
          <w:sz w:val="22"/>
        </w:rPr>
        <w:t>Cierre · Nos vemos en la Clase 13</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Clase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Preguntas que suelen hacer</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Clase 15?</w:t>
      </w:r>
    </w:p>
    <w:p>
      <w:r>
        <w:rPr>
          <w:b w:val="0"/>
          <w:color w:val="4A4A49"/>
          <w:sz w:val="22"/>
        </w:rPr>
        <w:t xml:space="preserve">Para la </w:t>
      </w:r>
      <w:r>
        <w:rPr>
          <w:b/>
          <w:color w:val="4A4A49"/>
          <w:sz w:val="22"/>
        </w:rPr>
        <w:t>Clase 14</w:t>
      </w:r>
      <w:r>
        <w:rPr>
          <w:b w:val="0"/>
          <w:color w:val="4A4A49"/>
          <w:sz w:val="22"/>
        </w:rPr>
        <w:t>, no para la 15. La Clase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Antes de empezar</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Clase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b w:val="0"/>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b w:val="0"/>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