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¿quién queda peor?</w:t>
      </w:r>
      <w:r>
        <w:rPr>
          <w:b w:val="0"/>
          <w:color w:val="4A4A49"/>
          <w:sz w:val="22"/>
        </w:rPr>
        <w:t xml:space="preserve"> → diapositiva 4</w:t>
      </w:r>
    </w:p>
    <w:p>
      <w:pPr>
        <w:pStyle w:val="ListBullet"/>
      </w:pPr>
      <w:r>
        <w:rPr>
          <w:b/>
          <w:color w:val="4A4A49"/>
          <w:sz w:val="22"/>
        </w:rPr>
        <w:t>Impacto no es intención, y el indirecto es el que muerde</w:t>
      </w:r>
      <w:r>
        <w:rPr>
          <w:b w:val="0"/>
          <w:color w:val="4A4A49"/>
          <w:sz w:val="22"/>
        </w:rPr>
        <w:t xml:space="preserve"> → diapositiva 5</w:t>
      </w:r>
    </w:p>
    <w:p>
      <w:pPr>
        <w:pStyle w:val="ListBullet"/>
      </w:pPr>
      <w:r>
        <w:rPr>
          <w:b/>
          <w:color w:val="4A4A49"/>
          <w:sz w:val="22"/>
        </w:rPr>
        <w:t>Los afectados que no eligieron nada</w:t>
      </w:r>
      <w:r>
        <w:rPr>
          <w:b w:val="0"/>
          <w:color w:val="4A4A49"/>
          <w:sz w:val="22"/>
        </w:rPr>
        <w:t xml:space="preserve"> → diapositiva 6</w:t>
      </w:r>
    </w:p>
    <w:p>
      <w:pPr>
        <w:pStyle w:val="ListBullet"/>
      </w:pPr>
      <w:r>
        <w:rPr>
          <w:b/>
          <w:color w:val="4A4A49"/>
          <w:sz w:val="22"/>
        </w:rPr>
        <w:t>La matriz, la calificación y los límites del método</w:t>
      </w:r>
      <w:r>
        <w:rPr>
          <w:b w:val="0"/>
          <w:color w:val="4A4A49"/>
          <w:sz w:val="22"/>
        </w:rPr>
        <w:t xml:space="preserve"> → diapositivas 8 y 9</w:t>
      </w:r>
    </w:p>
    <w:p>
      <w:pPr>
        <w:pStyle w:val="ListBullet"/>
      </w:pPr>
      <w:r>
        <w:rPr>
          <w:b/>
          <w:color w:val="4A4A49"/>
          <w:sz w:val="22"/>
        </w:rPr>
        <w:t>Del adjetivo al indicador, y las tres honestidades</w:t>
      </w:r>
      <w:r>
        <w:rPr>
          <w:b w:val="0"/>
          <w:color w:val="4A4A49"/>
          <w:sz w:val="22"/>
        </w:rPr>
        <w:t xml:space="preserve"> → diapositivas 11 y 12</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12]</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8].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9].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11].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12]. La primera, repetida: «no genera impacto negativo» es la frase que más credibilidad quita.</w:t>
      </w:r>
    </w:p>
    <w:p>
      <w:pPr>
        <w:spacing w:before="200" w:after="60"/>
      </w:pPr>
      <w:r>
        <w:rPr>
          <w:b/>
          <w:color w:val="1A1C1D"/>
          <w:sz w:val="32"/>
        </w:rPr>
        <w:t>00:55–01:12 · Taller en salas de grupo (17 min) · [Slide 13]</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14]</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15][Slide 16]</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ind w:left="432"/>
        <w:shd w:val="clear" w:fill="F7F7F8"/>
      </w:pPr>
      <w:r>
        <w:rPr>
          <w:b/>
          <w:i/>
          <w:color w:val="4A4A49"/>
          <w:sz w:val="21"/>
        </w:rPr>
        <w:t>Ejemplos resueltos</w:t>
      </w:r>
      <w:r>
        <w:rPr>
          <w:b w:val="0"/>
          <w:i/>
          <w:color w:val="4A4A49"/>
          <w:sz w:val="21"/>
        </w:rPr>
        <w:t xml:space="preserve"> (láminas 7, 10):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Ejemplo: afectados de la app de turnos que nunca la usan</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Ejemplo: un impacto negativo calificado</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Clase 14</w:t>
      </w:r>
    </w:p>
    <w:p>
      <w:pPr>
        <w:pStyle w:val="ListNumber"/>
      </w:pPr>
      <w:r>
        <w:rPr>
          <w:b w:val="0"/>
          <w:color w:val="4A4A49"/>
          <w:sz w:val="22"/>
        </w:rPr>
        <w:t>Cierre · Nos vemos en la Clase 14</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Preguntas que suelen hacer</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Antes de empezar</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