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4: Principios éticos en la Ingeniería</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3 de 11 (sesión doble junto con la Clase 5) · corresponde al tema 4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1</w:t>
      </w:r>
      <w:r>
        <w:rPr>
          <w:b w:val="0"/>
          <w:color w:val="4A4A49"/>
          <w:sz w:val="22"/>
        </w:rPr>
        <w:t xml:space="preserve"> (30%) · RAA: </w:t>
      </w:r>
      <w:r>
        <w:rPr>
          <w:b/>
          <w:color w:val="4A4A49"/>
          <w:sz w:val="22"/>
        </w:rPr>
        <w:t>RAA3</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spacing w:before="200" w:after="60"/>
      </w:pPr>
      <w:r>
        <w:rPr>
          <w:b/>
          <w:color w:val="1A1C1D"/>
          <w:sz w:val="32"/>
        </w:rPr>
        <w:t>Objetivos de la clase</w:t>
      </w:r>
    </w:p>
    <w:p>
      <w:pPr>
        <w:pStyle w:val="ListBullet"/>
      </w:pPr>
      <w:r>
        <w:rPr>
          <w:b w:val="0"/>
          <w:color w:val="4A4A49"/>
          <w:sz w:val="22"/>
        </w:rPr>
        <w:t xml:space="preserve">Distinguir un </w:t>
      </w:r>
      <w:r>
        <w:rPr>
          <w:b/>
          <w:color w:val="4A4A49"/>
          <w:sz w:val="22"/>
        </w:rPr>
        <w:t>problema ético</w:t>
      </w:r>
      <w:r>
        <w:rPr>
          <w:b w:val="0"/>
          <w:color w:val="4A4A49"/>
          <w:sz w:val="22"/>
        </w:rPr>
        <w:t xml:space="preserve"> de un problema técnico y de un problema legal.</w:t>
      </w:r>
    </w:p>
    <w:p>
      <w:pPr>
        <w:pStyle w:val="ListBullet"/>
      </w:pPr>
      <w:r>
        <w:rPr>
          <w:b w:val="0"/>
          <w:color w:val="4A4A49"/>
          <w:sz w:val="22"/>
        </w:rPr>
        <w:t xml:space="preserve">Usar los principios del </w:t>
      </w:r>
      <w:r>
        <w:rPr>
          <w:b/>
          <w:color w:val="4A4A49"/>
          <w:sz w:val="22"/>
        </w:rPr>
        <w:t>código de ética de ACM/IEEE</w:t>
      </w:r>
      <w:r>
        <w:rPr>
          <w:b w:val="0"/>
          <w:color w:val="4A4A49"/>
          <w:sz w:val="22"/>
        </w:rPr>
        <w:t xml:space="preserve"> y de la </w:t>
      </w:r>
      <w:r>
        <w:rPr>
          <w:b/>
          <w:color w:val="4A4A49"/>
          <w:sz w:val="22"/>
        </w:rPr>
        <w:t>Ley 842 de 2003</w:t>
      </w:r>
      <w:r>
        <w:rPr>
          <w:b w:val="0"/>
          <w:color w:val="4A4A49"/>
          <w:sz w:val="22"/>
        </w:rPr>
        <w:t xml:space="preserve"> para juzgar un caso.</w:t>
      </w:r>
    </w:p>
    <w:p>
      <w:pPr>
        <w:pStyle w:val="ListBullet"/>
      </w:pPr>
      <w:r>
        <w:rPr>
          <w:b w:val="0"/>
          <w:color w:val="4A4A49"/>
          <w:sz w:val="22"/>
        </w:rPr>
        <w:t xml:space="preserve">Nombrar </w:t>
      </w:r>
      <w:r>
        <w:rPr>
          <w:b/>
          <w:color w:val="4A4A49"/>
          <w:sz w:val="22"/>
        </w:rPr>
        <w:t>tres normas colombianas</w:t>
      </w:r>
      <w:r>
        <w:rPr>
          <w:b w:val="0"/>
          <w:color w:val="4A4A49"/>
          <w:sz w:val="22"/>
        </w:rPr>
        <w:t xml:space="preserve"> que obligan al ingeniero de sistemas, y qué exige cada una.</w:t>
      </w:r>
    </w:p>
    <w:p>
      <w:pPr>
        <w:pStyle w:val="ListBullet"/>
      </w:pPr>
      <w:r>
        <w:rPr>
          <w:b w:val="0"/>
          <w:color w:val="4A4A49"/>
          <w:sz w:val="22"/>
        </w:rPr>
        <w:t xml:space="preserve">Identificar en un caso real </w:t>
      </w:r>
      <w:r>
        <w:rPr>
          <w:b/>
          <w:color w:val="4A4A49"/>
          <w:sz w:val="22"/>
        </w:rPr>
        <w:t>el momento en que se pudo parar</w:t>
      </w:r>
      <w:r>
        <w:rPr>
          <w:b w:val="0"/>
          <w:color w:val="4A4A49"/>
          <w:sz w:val="22"/>
        </w:rPr>
        <w:t xml:space="preserve"> y quién tenía que hablar.</w:t>
      </w:r>
    </w:p>
    <w:p>
      <w:pPr>
        <w:spacing w:before="200" w:after="60"/>
      </w:pPr>
      <w:r>
        <w:rPr>
          <w:b/>
          <w:color w:val="1A1C1D"/>
          <w:sz w:val="32"/>
        </w:rPr>
        <w:t>Hoy avanzamos el proyecto en…</w:t>
      </w:r>
    </w:p>
    <w:p>
      <w:r>
        <w:rPr>
          <w:b/>
          <w:color w:val="4A4A49"/>
          <w:sz w:val="22"/>
        </w:rPr>
        <w:t>Identificar a quién puede perjudicar el proyecto del equipo y qué norma colombiana lo obliga a cuidar eso — sobre todo si va a manejar datos de personas</w:t>
      </w:r>
    </w:p>
    <w:p>
      <w:r>
        <w:rPr>
          <w:b/>
          <w:color w:val="4A4A49"/>
          <w:sz w:val="22"/>
        </w:rPr>
        <w:t>Entregable concreto:</w:t>
      </w:r>
      <w:r>
        <w:rPr>
          <w:b w:val="0"/>
          <w:color w:val="4A4A49"/>
          <w:sz w:val="22"/>
        </w:rPr>
        <w:t xml:space="preserve"> un acta de comité de cinco bloques en el documento del equipo, con al menos un numeral de código o de norma citado literalmente</w:t>
      </w:r>
    </w:p>
    <w:p>
      <w:r>
        <w:rPr>
          <w:b/>
          <w:color w:val="4A4A49"/>
          <w:sz w:val="22"/>
        </w:rPr>
        <w:t>Herramientas de esta sesión:</w:t>
      </w:r>
      <w:r>
        <w:rPr>
          <w:b w:val="0"/>
          <w:color w:val="4A4A49"/>
          <w:sz w:val="22"/>
        </w:rPr>
        <w:t xml:space="preserve"> Google Drive (Docs y Slides) · Padlet</w:t>
      </w:r>
    </w:p>
    <w:p>
      <w:pPr>
        <w:ind w:left="432"/>
        <w:shd w:val="clear" w:fill="F7F7F8"/>
      </w:pPr>
      <w:r>
        <w:rPr>
          <w:b w:val="0"/>
          <w:i/>
          <w:color w:val="4A4A49"/>
          <w:sz w:val="21"/>
        </w:rPr>
        <w:t xml:space="preserve">Hoy </w:t>
      </w:r>
      <w:r>
        <w:rPr>
          <w:b/>
          <w:i/>
          <w:color w:val="4A4A49"/>
          <w:sz w:val="21"/>
        </w:rPr>
        <w:t>no se usa asistente de IA</w:t>
      </w:r>
      <w:r>
        <w:rPr>
          <w:b w:val="0"/>
          <w:i/>
          <w:color w:val="4A4A49"/>
          <w:sz w:val="21"/>
        </w:rPr>
        <w:t xml:space="preserve">, y la razón es del tema: un caso ético se juzga leyendo el código de ética y los hechos, no pidiéndole una opinión a una herramienta que no responde por ella. El texto del código de ética de ACM/IEEE y el de la Ley 842 de 2003 se comparten en la carpeta del curso y </w:t>
      </w:r>
      <w:r>
        <w:rPr>
          <w:b/>
          <w:i/>
          <w:color w:val="4A4A49"/>
          <w:sz w:val="21"/>
        </w:rPr>
        <w:t>hay que citar el numeral</w:t>
      </w:r>
      <w:r>
        <w:rPr>
          <w:b w:val="0"/>
          <w:i/>
          <w:color w:val="4A4A49"/>
          <w:sz w:val="21"/>
        </w:rPr>
        <w:t>, no resumirlo de memoria.</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el ingeniero que fue a la cárcel</w:t>
      </w:r>
      <w:r>
        <w:rPr>
          <w:b w:val="0"/>
          <w:color w:val="4A4A49"/>
          <w:sz w:val="22"/>
        </w:rPr>
        <w:t xml:space="preserve"> → diapositiva 4</w:t>
      </w:r>
    </w:p>
    <w:p>
      <w:pPr>
        <w:pStyle w:val="ListBullet"/>
      </w:pPr>
      <w:r>
        <w:rPr>
          <w:b/>
          <w:color w:val="4A4A49"/>
          <w:sz w:val="22"/>
        </w:rPr>
        <w:t>Qué es la ética en una profesión y qué no es</w:t>
      </w:r>
      <w:r>
        <w:rPr>
          <w:b w:val="0"/>
          <w:color w:val="4A4A49"/>
          <w:sz w:val="22"/>
        </w:rPr>
        <w:t xml:space="preserve"> → diapositiva 5</w:t>
      </w:r>
    </w:p>
    <w:p>
      <w:pPr>
        <w:pStyle w:val="ListBullet"/>
      </w:pPr>
      <w:r>
        <w:rPr>
          <w:b/>
          <w:color w:val="4A4A49"/>
          <w:sz w:val="22"/>
        </w:rPr>
        <w:t>Los códigos y las tres normas colombianas que hay que saber nombrar</w:t>
      </w:r>
      <w:r>
        <w:rPr>
          <w:b w:val="0"/>
          <w:color w:val="4A4A49"/>
          <w:sz w:val="22"/>
        </w:rPr>
        <w:t xml:space="preserve"> → diapositiva 7</w:t>
      </w:r>
    </w:p>
    <w:p>
      <w:pPr>
        <w:pStyle w:val="ListBullet"/>
      </w:pPr>
      <w:r>
        <w:rPr>
          <w:b/>
          <w:color w:val="4A4A49"/>
          <w:sz w:val="22"/>
        </w:rPr>
        <w:t>Los cuatro casos: qué contar de cada uno y cuál es el momento de parar</w:t>
      </w:r>
      <w:r>
        <w:rPr>
          <w:b w:val="0"/>
          <w:color w:val="4A4A49"/>
          <w:sz w:val="22"/>
        </w:rPr>
        <w:t xml:space="preserve"> → diapositiva 9</w:t>
      </w:r>
    </w:p>
    <w:p>
      <w:pPr>
        <w:pStyle w:val="ListBullet"/>
      </w:pPr>
      <w:r>
        <w:rPr>
          <w:b/>
          <w:color w:val="4A4A49"/>
          <w:sz w:val="22"/>
        </w:rPr>
        <w:t>La defensa que no sirve y las cinco preguntas que sí</w:t>
      </w:r>
      <w:r>
        <w:rPr>
          <w:b w:val="0"/>
          <w:color w:val="4A4A49"/>
          <w:sz w:val="22"/>
        </w:rPr>
        <w:t xml:space="preserve"> → diapositivas 11 y 13</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antes de que entre el primero:</w:t>
      </w:r>
    </w:p>
    <w:p>
      <w:pPr>
        <w:ind w:left="432"/>
        <w:shd w:val="clear" w:fill="F7F7F8"/>
      </w:pPr>
      <w:r>
        <w:rPr>
          <w:b w:val="0"/>
          <w:i/>
          <w:color w:val="4A4A49"/>
          <w:sz w:val="21"/>
        </w:rPr>
        <w:t>«Un ingeniero escribió el código que le pidieron, funcionó perfecto, y terminó en la cárcel. ¿Cómo llega alguien ahí?»</w:t>
      </w:r>
    </w:p>
    <w:p>
      <w:r>
        <w:rPr>
          <w:b/>
          <w:color w:val="4A4A49"/>
          <w:sz w:val="22"/>
        </w:rPr>
        <w:t>[Nota docente]:</w:t>
      </w:r>
      <w:r>
        <w:rPr>
          <w:b w:val="0"/>
          <w:color w:val="4A4A49"/>
          <w:sz w:val="22"/>
        </w:rPr>
        <w:t xml:space="preserve"> no diga todavía que es Volkswagen. Recoja las respuestas en el muro; van a aparecer «robó», «hackeó», «se equivocó». Ninguna es correcta y ese es el punto.</w:t>
      </w:r>
    </w:p>
    <w:p>
      <w:r>
        <w:rPr>
          <w:b/>
          <w:color w:val="4A4A49"/>
          <w:sz w:val="22"/>
        </w:rPr>
        <w:t>[Nota docente]:</w:t>
      </w:r>
      <w:r>
        <w:rPr>
          <w:b w:val="0"/>
          <w:color w:val="4A4A49"/>
          <w:sz w:val="22"/>
        </w:rPr>
        <w:t xml:space="preserve"> hoy hay lectura previa (el código de ética). Verifique en el chat quién lo abrió: el taller se cae sin ese texto a mano.</w:t>
      </w:r>
    </w:p>
    <w:p>
      <w:pPr>
        <w:spacing w:before="200" w:after="60"/>
      </w:pPr>
      <w:r>
        <w:rPr>
          <w:b/>
          <w:color w:val="1A1C1D"/>
          <w:sz w:val="32"/>
        </w:rPr>
        <w:t>00:10–00:55 · Teoría · [Slide 5][Slide 7][Slide 9][Slide 11][Slide 13]</w:t>
      </w:r>
    </w:p>
    <w:p>
      <w:r>
        <w:rPr>
          <w:b w:val="0"/>
          <w:color w:val="4A4A49"/>
          <w:sz w:val="22"/>
        </w:rPr>
        <w:t>Reparto sugerido de los 45 min:</w:t>
      </w:r>
    </w:p>
    <w:p>
      <w:pPr>
        <w:pStyle w:val="ListBullet"/>
      </w:pPr>
      <w:r>
        <w:rPr>
          <w:b/>
          <w:color w:val="4A4A49"/>
          <w:sz w:val="22"/>
        </w:rPr>
        <w:t>8 min</w:t>
      </w:r>
      <w:r>
        <w:rPr>
          <w:b w:val="0"/>
          <w:color w:val="4A4A49"/>
          <w:sz w:val="22"/>
        </w:rPr>
        <w:t xml:space="preserve"> · Tres cosas que se confunden [Slide 5]. Insista en la segunda: </w:t>
      </w:r>
      <w:r>
        <w:rPr>
          <w:b/>
          <w:color w:val="4A4A49"/>
          <w:sz w:val="22"/>
        </w:rPr>
        <w:t>hay códigos escritos y se citan por numeral</w:t>
      </w:r>
      <w:r>
        <w:rPr>
          <w:b w:val="0"/>
          <w:color w:val="4A4A49"/>
          <w:sz w:val="22"/>
        </w:rPr>
        <w:t>. De eso depende que el taller sea evaluable y no una tertulia.</w:t>
      </w:r>
    </w:p>
    <w:p>
      <w:pPr>
        <w:pStyle w:val="ListBullet"/>
      </w:pPr>
      <w:r>
        <w:rPr>
          <w:b/>
          <w:color w:val="4A4A49"/>
          <w:sz w:val="22"/>
        </w:rPr>
        <w:t>10 min</w:t>
      </w:r>
      <w:r>
        <w:rPr>
          <w:b w:val="0"/>
          <w:color w:val="4A4A49"/>
          <w:sz w:val="22"/>
        </w:rPr>
        <w:t xml:space="preserve"> · Los principios y las tres normas [Slide 7]. En ACM/IEEE, diga que el orden importa: el público está antes que el empleador. En Colombia, mencione la matrícula del COPNIA: la ética aquí tiene autoridad y consecuencia.</w:t>
      </w:r>
    </w:p>
    <w:p>
      <w:pPr>
        <w:pStyle w:val="ListBullet"/>
      </w:pPr>
      <w:r>
        <w:rPr>
          <w:b/>
          <w:color w:val="4A4A49"/>
          <w:sz w:val="22"/>
        </w:rPr>
        <w:t>16 min</w:t>
      </w:r>
      <w:r>
        <w:rPr>
          <w:b w:val="0"/>
          <w:color w:val="4A4A49"/>
          <w:sz w:val="22"/>
        </w:rPr>
        <w:t xml:space="preserve"> · Los cuatro casos [Slide 9], unos 4 min cada uno. Therac-25 completo; en Volkswagen revele que este era el de la apertura y </w:t>
      </w:r>
      <w:r>
        <w:rPr>
          <w:b/>
          <w:color w:val="4A4A49"/>
          <w:sz w:val="22"/>
        </w:rPr>
        <w:t>vuelva al muro</w:t>
      </w:r>
      <w:r>
        <w:rPr>
          <w:b w:val="0"/>
          <w:color w:val="4A4A49"/>
          <w:sz w:val="22"/>
        </w:rPr>
        <w:t>.</w:t>
      </w:r>
    </w:p>
    <w:p>
      <w:pPr>
        <w:pStyle w:val="ListBullet"/>
      </w:pPr>
      <w:r>
        <w:rPr>
          <w:b/>
          <w:color w:val="4A4A49"/>
          <w:sz w:val="22"/>
        </w:rPr>
        <w:t>6 min</w:t>
      </w:r>
      <w:r>
        <w:rPr>
          <w:b w:val="0"/>
          <w:color w:val="4A4A49"/>
          <w:sz w:val="22"/>
        </w:rPr>
        <w:t xml:space="preserve"> · «Yo solo programé lo que me pidieron» [Slide 11]. La parte importante es la salida práctica: dejar rastro y escalar temprano.</w:t>
      </w:r>
    </w:p>
    <w:p>
      <w:pPr>
        <w:pStyle w:val="ListBullet"/>
      </w:pPr>
      <w:r>
        <w:rPr>
          <w:b/>
          <w:color w:val="4A4A49"/>
          <w:sz w:val="22"/>
        </w:rPr>
        <w:t>5 min</w:t>
      </w:r>
      <w:r>
        <w:rPr>
          <w:b w:val="0"/>
          <w:color w:val="4A4A49"/>
          <w:sz w:val="22"/>
        </w:rPr>
        <w:t xml:space="preserve"> · Las cinco preguntas [Slide 13]. Es el método del taller.</w:t>
      </w:r>
    </w:p>
    <w:p>
      <w:r>
        <w:rPr>
          <w:b/>
          <w:color w:val="4A4A49"/>
          <w:sz w:val="22"/>
        </w:rPr>
        <w:t>[Nota docente]:</w:t>
      </w:r>
      <w:r>
        <w:rPr>
          <w:b w:val="0"/>
          <w:color w:val="4A4A49"/>
          <w:sz w:val="22"/>
        </w:rPr>
        <w:t xml:space="preserve"> si el tiempo aprieta, recorte Cambridge Analytica y 737 MAX a dos minutos. </w:t>
      </w:r>
      <w:r>
        <w:rPr>
          <w:b/>
          <w:color w:val="4A4A49"/>
          <w:sz w:val="22"/>
        </w:rPr>
        <w:t>Therac-25 y Volkswagen no se recortan</w:t>
      </w:r>
      <w:r>
        <w:rPr>
          <w:b w:val="0"/>
          <w:color w:val="4A4A49"/>
          <w:sz w:val="22"/>
        </w:rPr>
        <w:t>: uno da el argumento técnico y el otro el argumento legal.</w:t>
      </w:r>
    </w:p>
    <w:p>
      <w:pPr>
        <w:spacing w:before="200" w:after="60"/>
      </w:pPr>
      <w:r>
        <w:rPr>
          <w:b/>
          <w:color w:val="1A1C1D"/>
          <w:sz w:val="32"/>
        </w:rPr>
        <w:t>00:55–01:12 · Taller en salas de grupo · [Slide 15]</w:t>
      </w:r>
    </w:p>
    <w:p>
      <w:r>
        <w:rPr>
          <w:b/>
          <w:color w:val="4A4A49"/>
          <w:sz w:val="22"/>
        </w:rPr>
        <w:t>2 min</w:t>
      </w:r>
      <w:r>
        <w:rPr>
          <w:b w:val="0"/>
          <w:color w:val="4A4A49"/>
          <w:sz w:val="22"/>
        </w:rPr>
        <w:t xml:space="preserve"> para repartir casos: un caso por equipo, asignado por número de equipo. El quinto equipo recibe un caso local en vez de uno famoso (está en el taller), porque hace falta que al menos uno juzgue algo que podría pasarles a ellos.</w:t>
      </w:r>
    </w:p>
    <w:p>
      <w:r>
        <w:rPr>
          <w:b/>
          <w:color w:val="4A4A49"/>
          <w:sz w:val="22"/>
        </w:rPr>
        <w:t>15 min</w:t>
      </w:r>
      <w:r>
        <w:rPr>
          <w:b w:val="0"/>
          <w:color w:val="4A4A49"/>
          <w:sz w:val="22"/>
        </w:rPr>
        <w:t xml:space="preserve"> en salas. Entre a las cinco, ~3 min cada una, y revise </w:t>
      </w:r>
      <w:r>
        <w:rPr>
          <w:b/>
          <w:color w:val="4A4A49"/>
          <w:sz w:val="22"/>
        </w:rPr>
        <w:t>una sola cosa: que haya un numeral citado</w:t>
      </w:r>
      <w:r>
        <w:rPr>
          <w:b w:val="0"/>
          <w:color w:val="4A4A49"/>
          <w:sz w:val="22"/>
        </w:rPr>
        <w:t>. Un veredicto sin numeral es una opinión y no puntúa el bloque más pesado.</w:t>
      </w:r>
    </w:p>
    <w:p>
      <w:r>
        <w:rPr>
          <w:b/>
          <w:color w:val="4A4A49"/>
          <w:sz w:val="22"/>
        </w:rPr>
        <w:t>[Nota docente]:</w:t>
      </w:r>
      <w:r>
        <w:rPr>
          <w:b w:val="0"/>
          <w:color w:val="4A4A49"/>
          <w:sz w:val="22"/>
        </w:rPr>
        <w:t xml:space="preserve"> el error que hay que cortar en caliente es el veredicto genérico («actuaron con negligencia»). Pida el sujeto: </w:t>
      </w:r>
      <w:r>
        <w:rPr>
          <w:b/>
          <w:color w:val="4A4A49"/>
          <w:sz w:val="22"/>
        </w:rPr>
        <w:t>quién</w:t>
      </w:r>
      <w:r>
        <w:rPr>
          <w:b w:val="0"/>
          <w:color w:val="4A4A49"/>
          <w:sz w:val="22"/>
        </w:rPr>
        <w:t xml:space="preserve"> decidió, en qué momento y qué información tenía.</w:t>
      </w:r>
    </w:p>
    <w:p>
      <w:r>
        <w:rPr>
          <w:b/>
          <w:color w:val="4A4A49"/>
          <w:sz w:val="22"/>
        </w:rPr>
        <w:t>[Nota docente]:</w:t>
      </w:r>
      <w:r>
        <w:rPr>
          <w:b w:val="0"/>
          <w:color w:val="4A4A49"/>
          <w:sz w:val="22"/>
        </w:rPr>
        <w:t xml:space="preserve"> cuando alguien diga «pero le habrían echado del trabajo», no lo descarte: es la objeción honesta. Responda con lo que sí se le pide —dejar rastro y escalar— y con lo que le pasó a quien no lo hizo.</w:t>
      </w:r>
    </w:p>
    <w:p>
      <w:pPr>
        <w:spacing w:before="200" w:after="60"/>
      </w:pPr>
      <w:r>
        <w:rPr>
          <w:b/>
          <w:color w:val="1A1C1D"/>
          <w:sz w:val="32"/>
        </w:rPr>
        <w:t>01:12–01:27 · Exposiciones · [Slide 16]</w:t>
      </w:r>
    </w:p>
    <w:p>
      <w:r>
        <w:rPr>
          <w:b w:val="0"/>
          <w:color w:val="4A4A49"/>
          <w:sz w:val="22"/>
        </w:rPr>
        <w:t xml:space="preserve">5 equipos × 3 min, vocero con la pantalla ya compartida. </w:t>
      </w:r>
      <w:r>
        <w:rPr>
          <w:b/>
          <w:color w:val="4A4A49"/>
          <w:sz w:val="22"/>
        </w:rPr>
        <w:t>El minuto obligatorio de hoy es «el momento en que se pudo parar»</w:t>
      </w:r>
      <w:r>
        <w:rPr>
          <w:b w:val="0"/>
          <w:color w:val="4A4A49"/>
          <w:sz w:val="22"/>
        </w:rPr>
        <w:t>: sin eso la exposición es un resumen de noticia.</w:t>
      </w:r>
    </w:p>
    <w:p>
      <w:r>
        <w:rPr>
          <w:b/>
          <w:color w:val="4A4A49"/>
          <w:sz w:val="22"/>
        </w:rPr>
        <w:t>[Nota docente]:</w:t>
      </w:r>
      <w:r>
        <w:rPr>
          <w:b w:val="0"/>
          <w:color w:val="4A4A49"/>
          <w:sz w:val="22"/>
        </w:rPr>
        <w:t xml:space="preserve"> los cinco enlaces en el chat antes de arrancar.</w:t>
      </w:r>
    </w:p>
    <w:p>
      <w:r>
        <w:rPr>
          <w:b/>
          <w:color w:val="4A4A49"/>
          <w:sz w:val="22"/>
        </w:rPr>
        <w:t>[Nota docente]:</w:t>
      </w:r>
      <w:r>
        <w:rPr>
          <w:b w:val="0"/>
          <w:color w:val="4A4A49"/>
          <w:sz w:val="22"/>
        </w:rPr>
        <w:t xml:space="preserve"> anote qué numeral citó cada equipo. Si tres equipos citaron el principio 1 del código ACM/IEEE, dígalo en el cierre: es la señal de que el interés público es el principio que resuelve la mayoría de los casos.</w:t>
      </w:r>
    </w:p>
    <w:p>
      <w:pPr>
        <w:spacing w:before="200" w:after="60"/>
      </w:pPr>
      <w:r>
        <w:rPr>
          <w:b/>
          <w:color w:val="1A1C1D"/>
          <w:sz w:val="32"/>
        </w:rPr>
        <w:t>01:27–01:30 · Cierre · [Slide 17][Slide 18]</w:t>
      </w:r>
    </w:p>
    <w:p>
      <w:r>
        <w:rPr>
          <w:b w:val="0"/>
          <w:color w:val="4A4A49"/>
          <w:sz w:val="22"/>
        </w:rPr>
        <w:t xml:space="preserve">Una idea: </w:t>
      </w:r>
      <w:r>
        <w:rPr>
          <w:b/>
          <w:color w:val="4A4A49"/>
          <w:sz w:val="22"/>
        </w:rPr>
        <w:t>en los cuatro casos el software funcionó.</w:t>
      </w:r>
      <w:r>
        <w:rPr>
          <w:b w:val="0"/>
          <w:color w:val="4A4A49"/>
          <w:sz w:val="22"/>
        </w:rPr>
        <w:t xml:space="preserve"> Falló lo que se pidió construir y el hecho de que nadie lo detuvo. La ética profesional es la decisión temprana, no el arrepentimiento posterior.</w:t>
      </w:r>
    </w:p>
    <w:p>
      <w:r>
        <w:rPr>
          <w:b w:val="0"/>
          <w:color w:val="4A4A49"/>
          <w:sz w:val="22"/>
        </w:rPr>
        <w:t>Anuncie la sesión 5: hoy se vio el daño a personas; la próxima, el daño que no tiene una víctima con nombre y que casi nadie mide — el ambiental.</w:t>
      </w:r>
    </w:p>
    <w:p>
      <w:pPr>
        <w:ind w:left="432"/>
        <w:shd w:val="clear" w:fill="F7F7F8"/>
      </w:pPr>
      <w:r>
        <w:rPr>
          <w:b/>
          <w:i/>
          <w:color w:val="4A4A49"/>
          <w:sz w:val="21"/>
        </w:rPr>
        <w:t>Ejemplos resueltos</w:t>
      </w:r>
      <w:r>
        <w:rPr>
          <w:b w:val="0"/>
          <w:i/>
          <w:color w:val="4A4A49"/>
          <w:sz w:val="21"/>
        </w:rPr>
        <w:t xml:space="preserve"> (láminas 6, 8, 10, 12, 14):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4 - Principios eticos en la Ingenieria/Presentacion.pptx</w:t>
      </w:r>
      <w:r>
        <w:rPr>
          <w:b w:val="0"/>
          <w:color w:val="4A4A49"/>
          <w:sz w:val="22"/>
        </w:rPr>
        <w:t>. Las etiquetas [Slide N] del plan y las referencias del fundamento apuntan aquí.</w:t>
      </w:r>
    </w:p>
    <w:p>
      <w:pPr>
        <w:pStyle w:val="ListNumber"/>
      </w:pPr>
      <w:r>
        <w:rPr>
          <w:b w:val="0"/>
          <w:color w:val="4A4A49"/>
          <w:sz w:val="22"/>
        </w:rPr>
        <w:t>Portada · Clase 4</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Tres cosas que se confunden</w:t>
      </w:r>
    </w:p>
    <w:p>
      <w:pPr>
        <w:pStyle w:val="ListNumber"/>
      </w:pPr>
      <w:r>
        <w:rPr>
          <w:b w:val="0"/>
          <w:color w:val="4A4A49"/>
          <w:sz w:val="22"/>
        </w:rPr>
        <w:t>Ejemplo: el mismo pedido, decidido de dos maneras</w:t>
      </w:r>
    </w:p>
    <w:p>
      <w:pPr>
        <w:pStyle w:val="ListNumber"/>
      </w:pPr>
      <w:r>
        <w:rPr>
          <w:b w:val="0"/>
          <w:color w:val="4A4A49"/>
          <w:sz w:val="22"/>
        </w:rPr>
        <w:t>Los principios que sí están escritos</w:t>
      </w:r>
    </w:p>
    <w:p>
      <w:pPr>
        <w:pStyle w:val="ListNumber"/>
      </w:pPr>
      <w:r>
        <w:rPr>
          <w:b w:val="0"/>
          <w:color w:val="4A4A49"/>
          <w:sz w:val="22"/>
        </w:rPr>
        <w:t>Ejemplo: opinar o citar un principio</w:t>
      </w:r>
    </w:p>
    <w:p>
      <w:pPr>
        <w:pStyle w:val="ListNumber"/>
      </w:pPr>
      <w:r>
        <w:rPr>
          <w:b w:val="0"/>
          <w:color w:val="4A4A49"/>
          <w:sz w:val="22"/>
        </w:rPr>
        <w:t>Cuatro casos donde el software funcionó</w:t>
      </w:r>
    </w:p>
    <w:p>
      <w:pPr>
        <w:pStyle w:val="ListNumber"/>
      </w:pPr>
      <w:r>
        <w:rPr>
          <w:b w:val="0"/>
          <w:color w:val="4A4A49"/>
          <w:sz w:val="22"/>
        </w:rPr>
        <w:t>Ejemplo: qué falló en el Therac-25, paso a paso</w:t>
      </w:r>
    </w:p>
    <w:p>
      <w:pPr>
        <w:pStyle w:val="ListNumber"/>
      </w:pPr>
      <w:r>
        <w:rPr>
          <w:b w:val="0"/>
          <w:color w:val="4A4A49"/>
          <w:sz w:val="22"/>
        </w:rPr>
        <w:t>«Yo solo programé lo que me pidieron»</w:t>
      </w:r>
    </w:p>
    <w:p>
      <w:pPr>
        <w:pStyle w:val="ListNumber"/>
      </w:pPr>
      <w:r>
        <w:rPr>
          <w:b w:val="0"/>
          <w:color w:val="4A4A49"/>
          <w:sz w:val="22"/>
        </w:rPr>
        <w:t>Ejemplo: el correo que deja rastro</w:t>
      </w:r>
    </w:p>
    <w:p>
      <w:pPr>
        <w:pStyle w:val="ListNumber"/>
      </w:pPr>
      <w:r>
        <w:rPr>
          <w:b w:val="0"/>
          <w:color w:val="4A4A49"/>
          <w:sz w:val="22"/>
        </w:rPr>
        <w:t>Cinco preguntas para decidir sin ser experto</w:t>
      </w:r>
    </w:p>
    <w:p>
      <w:pPr>
        <w:pStyle w:val="ListNumber"/>
      </w:pPr>
      <w:r>
        <w:rPr>
          <w:b w:val="0"/>
          <w:color w:val="4A4A49"/>
          <w:sz w:val="22"/>
        </w:rPr>
        <w:t>Ejemplo resuelto: la app que vende la ubicación</w:t>
      </w:r>
    </w:p>
    <w:p>
      <w:pPr>
        <w:pStyle w:val="ListNumber"/>
      </w:pPr>
      <w:r>
        <w:rPr>
          <w:b w:val="0"/>
          <w:color w:val="4A4A49"/>
          <w:sz w:val="22"/>
        </w:rPr>
        <w:t>Taller de hoy: Comité de ética</w:t>
      </w:r>
    </w:p>
    <w:p>
      <w:pPr>
        <w:pStyle w:val="ListNumber"/>
      </w:pPr>
      <w:r>
        <w:rPr>
          <w:b w:val="0"/>
          <w:color w:val="4A4A49"/>
          <w:sz w:val="22"/>
        </w:rPr>
        <w:t>Cómo se expone en 3 minutos</w:t>
      </w:r>
    </w:p>
    <w:p>
      <w:pPr>
        <w:pStyle w:val="ListNumber"/>
      </w:pPr>
      <w:r>
        <w:rPr>
          <w:b w:val="0"/>
          <w:color w:val="4A4A49"/>
          <w:sz w:val="22"/>
        </w:rPr>
        <w:t>Para la Clase 5</w:t>
      </w:r>
    </w:p>
    <w:p>
      <w:pPr>
        <w:pStyle w:val="ListNumber"/>
      </w:pPr>
      <w:r>
        <w:rPr>
          <w:b w:val="0"/>
          <w:color w:val="4A4A49"/>
          <w:sz w:val="22"/>
        </w:rPr>
        <w:t>Cierre · Nos vemos en la sesión 5</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«La empresa actuó con negligencia»</w:t>
            </w:r>
          </w:p>
        </w:tc>
        <w:tc>
          <w:tcPr>
            <w:tcW w:type="dxa" w:w="2880"/>
          </w:tcPr>
          <w:p>
            <w:r/>
            <w:r>
              <w:rPr>
                <w:b w:val="0"/>
                <w:color w:val="4A4A49"/>
                <w:sz w:val="20"/>
              </w:rPr>
              <w:t>«La empresa» no decide: deciden personas con un cargo, y sin sujeto el caso no enseña nada.</w:t>
            </w:r>
          </w:p>
        </w:tc>
        <w:tc>
          <w:tcPr>
            <w:tcW w:type="dxa" w:w="2880"/>
          </w:tcPr>
          <w:p>
            <w:r/>
            <w:r>
              <w:rPr>
                <w:b w:val="0"/>
                <w:color w:val="4A4A49"/>
                <w:sz w:val="20"/>
              </w:rPr>
              <w:t>Quién tomó la decisión (el rol), en qué momento y con qué información.</w:t>
            </w:r>
          </w:p>
        </w:tc>
      </w:tr>
      <w:tr>
        <w:tc>
          <w:tcPr>
            <w:tcW w:type="dxa" w:w="2880"/>
            <w:shd w:val="clear" w:fill="ECECEE"/>
          </w:tcPr>
          <w:p>
            <w:r/>
            <w:r>
              <w:rPr>
                <w:b w:val="0"/>
                <w:color w:val="4A4A49"/>
                <w:sz w:val="20"/>
              </w:rPr>
              <w:t>«El culpable fue el programador que dejó el error»</w:t>
            </w:r>
          </w:p>
        </w:tc>
        <w:tc>
          <w:tcPr>
            <w:tcW w:type="dxa" w:w="2880"/>
            <w:shd w:val="clear" w:fill="ECECEE"/>
          </w:tcPr>
          <w:p>
            <w:r/>
            <w:r>
              <w:rPr>
                <w:b w:val="0"/>
                <w:color w:val="4A4A49"/>
                <w:sz w:val="20"/>
              </w:rPr>
              <w:t>En los cuatro casos el software hizo lo que se le pidió; el error, cuando existió, era inofensivo hasta que alguien quitó la barrera.</w:t>
            </w:r>
          </w:p>
        </w:tc>
        <w:tc>
          <w:tcPr>
            <w:tcW w:type="dxa" w:w="2880"/>
            <w:shd w:val="clear" w:fill="ECECEE"/>
          </w:tcPr>
          <w:p>
            <w:r/>
            <w:r>
              <w:rPr>
                <w:b w:val="0"/>
                <w:color w:val="4A4A49"/>
                <w:sz w:val="20"/>
              </w:rPr>
              <w:t>La decisión de diseño o de negocio que convirtió el error en daño.</w:t>
            </w:r>
          </w:p>
        </w:tc>
      </w:tr>
      <w:tr>
        <w:tc>
          <w:tcPr>
            <w:tcW w:type="dxa" w:w="2880"/>
          </w:tcPr>
          <w:p>
            <w:r/>
            <w:r>
              <w:rPr>
                <w:b w:val="0"/>
                <w:color w:val="4A4A49"/>
                <w:sz w:val="20"/>
              </w:rPr>
              <w:t>«El código de ética dice que hay que ser responsable»</w:t>
            </w:r>
          </w:p>
        </w:tc>
        <w:tc>
          <w:tcPr>
            <w:tcW w:type="dxa" w:w="2880"/>
          </w:tcPr>
          <w:p>
            <w:r/>
            <w:r>
              <w:rPr>
                <w:b w:val="0"/>
                <w:color w:val="4A4A49"/>
                <w:sz w:val="20"/>
              </w:rPr>
              <w:t>Eso no está en ningún numeral; es una paráfrasis vacía y no puntúa el bloque más pesado.</w:t>
            </w:r>
          </w:p>
        </w:tc>
        <w:tc>
          <w:tcPr>
            <w:tcW w:type="dxa" w:w="2880"/>
          </w:tcPr>
          <w:p>
            <w:r/>
            <w:r>
              <w:rPr>
                <w:b w:val="0"/>
                <w:color w:val="4A4A49"/>
                <w:sz w:val="20"/>
              </w:rPr>
              <w:t>El número del principio o del artículo y la cita literal del texto compartido.</w:t>
            </w:r>
          </w:p>
        </w:tc>
      </w:tr>
      <w:tr>
        <w:tc>
          <w:tcPr>
            <w:tcW w:type="dxa" w:w="2880"/>
            <w:shd w:val="clear" w:fill="ECECEE"/>
          </w:tcPr>
          <w:p>
            <w:r/>
            <w:r>
              <w:rPr>
                <w:b w:val="0"/>
                <w:color w:val="4A4A49"/>
                <w:sz w:val="20"/>
              </w:rPr>
              <w:t>«Debieron probar mejor el software»</w:t>
            </w:r>
          </w:p>
        </w:tc>
        <w:tc>
          <w:tcPr>
            <w:tcW w:type="dxa" w:w="2880"/>
            <w:shd w:val="clear" w:fill="ECECEE"/>
          </w:tcPr>
          <w:p>
            <w:r/>
            <w:r>
              <w:rPr>
                <w:b w:val="0"/>
                <w:color w:val="4A4A49"/>
                <w:sz w:val="20"/>
              </w:rPr>
              <w:t>Es correcto y es tardío: no toca la decisión que creó el riesgo.</w:t>
            </w:r>
          </w:p>
        </w:tc>
        <w:tc>
          <w:tcPr>
            <w:tcW w:type="dxa" w:w="2880"/>
            <w:shd w:val="clear" w:fill="ECECEE"/>
          </w:tcPr>
          <w:p>
            <w:r/>
            <w:r>
              <w:rPr>
                <w:b w:val="0"/>
                <w:color w:val="4A4A49"/>
                <w:sz w:val="20"/>
              </w:rPr>
              <w:t>El momento más temprano en que alguien pudo cambiar el resultado, y qué debía hacer ahí.</w:t>
            </w:r>
          </w:p>
        </w:tc>
      </w:tr>
      <w:tr>
        <w:tc>
          <w:tcPr>
            <w:tcW w:type="dxa" w:w="2880"/>
          </w:tcPr>
          <w:p>
            <w:r/>
            <w:r>
              <w:rPr>
                <w:b w:val="0"/>
                <w:color w:val="4A4A49"/>
                <w:sz w:val="20"/>
              </w:rPr>
              <w:t>«Si era legal, no hay problema ético»</w:t>
            </w:r>
          </w:p>
        </w:tc>
        <w:tc>
          <w:tcPr>
            <w:tcW w:type="dxa" w:w="2880"/>
          </w:tcPr>
          <w:p>
            <w:r/>
            <w:r>
              <w:rPr>
                <w:b w:val="0"/>
                <w:color w:val="4A4A49"/>
                <w:sz w:val="20"/>
              </w:rPr>
              <w:t>Cambridge Analytica era legal según las reglas de la plataforma y es indefendible.</w:t>
            </w:r>
          </w:p>
        </w:tc>
        <w:tc>
          <w:tcPr>
            <w:tcW w:type="dxa" w:w="2880"/>
          </w:tcPr>
          <w:p>
            <w:r/>
            <w:r>
              <w:rPr>
                <w:b w:val="0"/>
                <w:color w:val="4A4A49"/>
                <w:sz w:val="20"/>
              </w:rPr>
              <w:t>Que apliquen la pregunta 3: ¿aguanta que se sepa? Y que digan quién quedó sin saber.</w:t>
            </w:r>
          </w:p>
        </w:tc>
      </w:tr>
    </w:tbl>
    <w:p/>
    <w:p>
      <w:pPr>
        <w:spacing w:before="200" w:after="60"/>
      </w:pPr>
      <w:r>
        <w:rPr>
          <w:b/>
          <w:color w:val="1A1C1D"/>
          <w:sz w:val="32"/>
        </w:rPr>
        <w:t>Preguntas que suelen hacer</w:t>
      </w:r>
    </w:p>
    <w:p>
      <w:r>
        <w:rPr>
          <w:b/>
          <w:color w:val="4A4A49"/>
          <w:sz w:val="22"/>
        </w:rPr>
        <w:t>¿Y si me despiden por negarme?</w:t>
      </w:r>
    </w:p>
    <w:p>
      <w:r>
        <w:rPr>
          <w:b w:val="0"/>
          <w:color w:val="4A4A49"/>
          <w:sz w:val="22"/>
        </w:rPr>
        <w:t xml:space="preserve">Es la objeción honesta y no se le va a responder con heroísmo. Lo que el curso le pide no es renunciar ni denunciar: es </w:t>
      </w:r>
      <w:r>
        <w:rPr>
          <w:b/>
          <w:color w:val="4A4A49"/>
          <w:sz w:val="22"/>
        </w:rPr>
        <w:t>dejar rastro y escalar temprano</w:t>
      </w:r>
      <w:r>
        <w:rPr>
          <w:b w:val="0"/>
          <w:color w:val="4A4A49"/>
          <w:sz w:val="22"/>
        </w:rPr>
        <w:t>. Un correo que diga «esto tiene este riesgo para estas personas, lo dejo por escrito» hace que decida quien tiene la autoridad, sabiendo. Y le recuerdo el dato de Volkswagen: quien ejecutó calladamente fue a prisión, y eso también le cuesta el trabajo.</w:t>
      </w:r>
    </w:p>
    <w:p>
      <w:r>
        <w:rPr>
          <w:b/>
          <w:color w:val="4A4A49"/>
          <w:sz w:val="22"/>
        </w:rPr>
        <w:t>¿Un estudiante de primer semestre ya tiene responsabilidad profesional?</w:t>
      </w:r>
    </w:p>
    <w:p>
      <w:r>
        <w:rPr>
          <w:b w:val="0"/>
          <w:color w:val="4A4A49"/>
          <w:sz w:val="22"/>
        </w:rPr>
        <w:t xml:space="preserve">Legalmente la matrícula profesional viene después del título. Pero la Ley 1581 de 2012 y la Ley 1273 de 2009 le aplican </w:t>
      </w:r>
      <w:r>
        <w:rPr>
          <w:b/>
          <w:color w:val="4A4A49"/>
          <w:sz w:val="22"/>
        </w:rPr>
        <w:t>hoy</w:t>
      </w:r>
      <w:r>
        <w:rPr>
          <w:b w:val="0"/>
          <w:color w:val="4A4A49"/>
          <w:sz w:val="22"/>
        </w:rPr>
        <w:t>, como a cualquier persona: si sube datos de pacientes a un enlace público en el proyecto de este curso, eso ya es un problema real, no un ejercicio.</w:t>
      </w:r>
    </w:p>
    <w:p>
      <w:r>
        <w:rPr>
          <w:b/>
          <w:color w:val="4A4A49"/>
          <w:sz w:val="22"/>
        </w:rPr>
        <w:t>¿Los códigos de ética tienen fuerza legal en Colombia?</w:t>
      </w:r>
    </w:p>
    <w:p>
      <w:r>
        <w:rPr>
          <w:b w:val="0"/>
          <w:color w:val="4A4A49"/>
          <w:sz w:val="22"/>
        </w:rPr>
        <w:t xml:space="preserve">El de ACM/IEEE no: es un compromiso profesional internacional, y su fuerza está en que es el estándar que la profesión reconoce. La </w:t>
      </w:r>
      <w:r>
        <w:rPr>
          <w:b/>
          <w:color w:val="4A4A49"/>
          <w:sz w:val="22"/>
        </w:rPr>
        <w:t>Ley 842 de 2003</w:t>
      </w:r>
      <w:r>
        <w:rPr>
          <w:b w:val="0"/>
          <w:color w:val="4A4A49"/>
          <w:sz w:val="22"/>
        </w:rPr>
        <w:t xml:space="preserve"> sí es ley colombiana, y el COPNIA puede sancionar y suspender la matrícula profesional con base en ella. Las leyes 1581 y 1273 tienen consecuencias directas: sanciones administrativas la primera, penales la segunda.</w:t>
      </w:r>
    </w:p>
    <w:p>
      <w:r>
        <w:rPr>
          <w:b/>
          <w:color w:val="4A4A49"/>
          <w:sz w:val="22"/>
        </w:rPr>
        <w:t>¿En el proyecto del curso podemos usar datos reales de personas?</w:t>
      </w:r>
    </w:p>
    <w:p>
      <w:r>
        <w:rPr>
          <w:b w:val="0"/>
          <w:color w:val="4A4A49"/>
          <w:sz w:val="22"/>
        </w:rPr>
        <w:t>No. Ni nombres, ni cédulas, ni teléfonos, ni fotos de terceros: se usa el rol. Si su proyecto necesita datos para funcionar, se inventan datos de prueba. Esa regla es la Ley 1581 de 2012 aplicada a su trabajo, y es la primera cosa que se revisa en el informe final.</w:t>
      </w:r>
    </w:p>
    <w:p>
      <w:pPr>
        <w:spacing w:before="200" w:after="60"/>
      </w:pPr>
      <w:r>
        <w:rPr>
          <w:b/>
          <w:color w:val="1A1C1D"/>
          <w:sz w:val="32"/>
        </w:rPr>
        <w:t>Antes de empezar</w:t>
      </w:r>
    </w:p>
    <w:p>
      <w:pPr>
        <w:pStyle w:val="ListBullet"/>
      </w:pPr>
      <w:r>
        <w:rPr>
          <w:b w:val="0"/>
          <w:color w:val="4A4A49"/>
          <w:sz w:val="22"/>
        </w:rPr>
        <w:t xml:space="preserve">Comparta el </w:t>
      </w:r>
      <w:r>
        <w:rPr>
          <w:b/>
          <w:color w:val="4A4A49"/>
          <w:sz w:val="22"/>
        </w:rPr>
        <w:t>texto del código ACM/IEEE y el de la Ley 842 de 2003</w:t>
      </w:r>
      <w:r>
        <w:rPr>
          <w:b w:val="0"/>
          <w:color w:val="4A4A49"/>
          <w:sz w:val="22"/>
        </w:rPr>
        <w:t xml:space="preserve"> en la carpeta del curso antes de la sesión. Sin el texto a mano, el bloque del numeral —30 % de la nota— no se puede hacer y el taller se convierte en opinión.</w:t>
      </w:r>
    </w:p>
    <w:p>
      <w:pPr>
        <w:pStyle w:val="ListBullet"/>
      </w:pPr>
      <w:r>
        <w:rPr>
          <w:b w:val="0"/>
          <w:color w:val="4A4A49"/>
          <w:sz w:val="22"/>
        </w:rPr>
        <w:t xml:space="preserve">El caso del equipo 5 (el local, de datos de salud en un enlace público) </w:t>
      </w:r>
      <w:r>
        <w:rPr>
          <w:b/>
          <w:color w:val="4A4A49"/>
          <w:sz w:val="22"/>
        </w:rPr>
        <w:t>no se cambia</w:t>
      </w:r>
      <w:r>
        <w:rPr>
          <w:b w:val="0"/>
          <w:color w:val="4A4A49"/>
          <w:sz w:val="22"/>
        </w:rPr>
        <w:t>: es el que amarra la clase al proyecto del semestre y a la regla de datos personales del curso.</w:t>
      </w:r>
    </w:p>
    <w:p>
      <w:pPr>
        <w:pStyle w:val="ListBullet"/>
      </w:pPr>
      <w:r>
        <w:rPr>
          <w:b w:val="0"/>
          <w:color w:val="4A4A49"/>
          <w:sz w:val="22"/>
        </w:rPr>
        <w:t>Si un equipo trae una cifra de muertos o de multas, pida la fuente y el año. Los números de estos casos circulan con variaciones.</w:t>
      </w:r>
    </w:p>
    <w:p>
      <w:pPr>
        <w:pStyle w:val="ListBullet"/>
      </w:pPr>
      <w:r>
        <w:rPr>
          <w:b w:val="0"/>
          <w:color w:val="4A4A49"/>
          <w:sz w:val="22"/>
        </w:rPr>
        <w:t xml:space="preserve">Al calificar, sea estricto con la </w:t>
      </w:r>
      <w:r>
        <w:rPr>
          <w:b/>
          <w:color w:val="4A4A49"/>
          <w:sz w:val="22"/>
        </w:rPr>
        <w:t>cita literal</w:t>
      </w:r>
      <w:r>
        <w:rPr>
          <w:b w:val="0"/>
          <w:color w:val="4A4A49"/>
          <w:sz w:val="22"/>
        </w:rPr>
        <w:t>. Un resumen del principio, aunque sea correcto, no vale igual: la habilidad que se está formando es citar la norma que obliga.</w:t>
      </w:r>
    </w:p>
    <w:p>
      <w:pPr>
        <w:pStyle w:val="ListBullet"/>
      </w:pPr>
      <w:r>
        <w:rPr>
          <w:b w:val="0"/>
          <w:color w:val="4A4A49"/>
          <w:sz w:val="22"/>
        </w:rPr>
        <w:t xml:space="preserve">Esta sesión no usa asistente de IA. Si un equipo lo usa, la falla típica es un numeral </w:t>
      </w:r>
      <w:r>
        <w:rPr>
          <w:b/>
          <w:color w:val="4A4A49"/>
          <w:sz w:val="22"/>
        </w:rPr>
        <w:t>inventado</w:t>
      </w:r>
      <w:r>
        <w:rPr>
          <w:b w:val="0"/>
          <w:color w:val="4A4A49"/>
          <w:sz w:val="22"/>
        </w:rPr>
        <w:t>: el asistente cita artículos que no existen con total naturalidad. Verifique cualquier numeral contra el texto compartido.</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4 - Principios eticos en la Ingenieria/Presentacion.pptx</w:t>
      </w:r>
    </w:p>
    <w:p>
      <w:pPr>
        <w:pStyle w:val="ListBullet"/>
      </w:pPr>
      <w:r>
        <w:rPr>
          <w:b w:val="0"/>
          <w:color w:val="4A4A49"/>
          <w:sz w:val="22"/>
        </w:rPr>
        <w:t xml:space="preserve">Taller del estudiante: </w:t>
      </w:r>
      <w:r>
        <w:rPr>
          <w:rFonts w:ascii="Consolas" w:hAnsi="Consolas"/>
          <w:b w:val="0"/>
          <w:color w:val="111111"/>
          <w:sz w:val="21"/>
        </w:rPr>
        <w:t>Clases/Clase 4 - Principios eticos en la Ingenieria/Taller Clase 4 - Comite de etica.docx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4/Solucion Taller Clase 4 - Comite de etica.docx</w:t>
      </w:r>
    </w:p>
    <w:p>
      <w:pPr>
        <w:pStyle w:val="ListBullet"/>
      </w:pPr>
      <w:r>
        <w:rPr>
          <w:b w:val="0"/>
          <w:color w:val="4A4A49"/>
          <w:sz w:val="22"/>
        </w:rPr>
        <w:t xml:space="preserve">Este guion: </w:t>
      </w:r>
      <w:r>
        <w:rPr>
          <w:rFonts w:ascii="Consolas" w:hAnsi="Consolas"/>
          <w:b w:val="0"/>
          <w:color w:val="111111"/>
          <w:sz w:val="21"/>
        </w:rPr>
        <w:t>Kit docente/Clase 4/Guion Docente Clase 4 - Principios eticos en la Ingenieria.docx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