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Calibri" w:hAnsi="Calibri" w:eastAsia="Calibri"/>
          <w:b/>
          <w:color w:val="095292"/>
          <w:sz w:val="20"/>
        </w:rPr>
        <w:t>Institución Universitaria Antonio José Camacho — UNIAJC</w:t>
      </w:r>
    </w:p>
    <w:p>
      <w:pPr>
        <w:spacing w:after="160" w:before="200"/>
        <w:jc w:val="left"/>
        <w:shd w:val="clear" w:fill="095292"/>
      </w:pPr>
      <w:r>
        <w:rPr>
          <w:rFonts w:ascii="Calibri" w:hAnsi="Calibri" w:eastAsia="Calibri"/>
          <w:b/>
          <w:color w:val="FFFFFF"/>
          <w:sz w:val="26"/>
        </w:rPr>
        <w:t xml:space="preserve">  Guía docente · Proyecto Integrador — Bases de Datos II</w:t>
      </w:r>
    </w:p>
    <w:p>
      <w:pPr>
        <w:spacing w:after="120" w:before="160"/>
        <w:jc w:val="center"/>
      </w:pPr>
      <w:r>
        <w:rPr>
          <w:rFonts w:ascii="Calibri" w:hAnsi="Calibri" w:eastAsia="Calibri"/>
          <w:b/>
          <w:color w:val="095292"/>
          <w:sz w:val="26"/>
        </w:rPr>
        <w:t>Bases de Datos II</w:t>
      </w:r>
    </w:p>
    <w:p>
      <w:pPr>
        <w:spacing w:after="120" w:before="0"/>
        <w:jc w:val="center"/>
      </w:pPr>
      <w:r>
        <w:rPr>
          <w:rFonts w:ascii="Calibri" w:hAnsi="Calibri" w:eastAsia="Calibri"/>
          <w:b/>
          <w:color w:val="2B2B2B"/>
          <w:sz w:val="22"/>
        </w:rPr>
        <w:t>FI303215 · Grupo 641A-2 · 2026-2</w:t>
      </w:r>
    </w:p>
    <w:p>
      <w:pPr>
        <w:spacing w:after="200" w:before="0"/>
        <w:jc w:val="center"/>
        <w:shd w:val="clear" w:fill="FBE4E4"/>
      </w:pPr>
      <w:r>
        <w:rPr>
          <w:rFonts w:ascii="Calibri" w:hAnsi="Calibri" w:eastAsia="Calibri"/>
          <w:b/>
          <w:color w:val="A02030"/>
          <w:sz w:val="20"/>
        </w:rPr>
        <w:t>DOCUMENTO DOCENTE — No distribuir a estudiantes. Incluye rúbrica e hitos.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Contexto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Patrón heredado de Prog. II / Seminario: PI continuo ABPr, 20% Corte 3. Enunciados viejos viven como .gdoc en Clase 1; aquí se materializa en Clases/Proyecto Integrador/ (estudiante) + Kit docente/Proyecto Integrador/.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Alineación RAA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RAA1 Seguridad y respaldo → roles, privilegios, plan de backup/restore.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RAA2 Procedimientos y disparadores → procs, funciones, triggers con pruebas.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RAA3 Optimización → índices, reescritura, evidencia antes/después.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Hitos docentes (sesiones del calendario · 13 sesiones)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Sesión</w:t>
            </w:r>
          </w:p>
        </w:tc>
        <w:tc>
          <w:tcPr>
            <w:tcW w:type="dxa" w:w="2448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Fecha</w:t>
            </w:r>
          </w:p>
        </w:tc>
        <w:tc>
          <w:tcPr>
            <w:tcW w:type="dxa" w:w="2448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Material</w:t>
            </w:r>
          </w:p>
        </w:tc>
        <w:tc>
          <w:tcPr>
            <w:tcW w:type="dxa" w:w="2448"/>
            <w:shd w:val="clear" w:fill="095292"/>
          </w:tcPr>
          <w:p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Rol docente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10 (doble)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26/10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Clases 11+12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Revisión de avance con checklist viva + empujar integración app↔BD y casos de prueba en el mismo bloque</w:t>
            </w:r>
          </w:p>
        </w:tc>
      </w:tr>
      <w:tr>
        <w:tc>
          <w:tcPr>
            <w:tcW w:type="dxa" w:w="244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11 (autónoma)</w:t>
            </w:r>
          </w:p>
        </w:tc>
        <w:tc>
          <w:tcPr>
            <w:tcW w:type="dxa" w:w="244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02/11</w:t>
            </w:r>
          </w:p>
        </w:tc>
        <w:tc>
          <w:tcPr>
            <w:tcW w:type="dxa" w:w="244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Clase 13</w:t>
            </w:r>
          </w:p>
        </w:tc>
        <w:tc>
          <w:tcPr>
            <w:tcW w:type="dxa" w:w="244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Publicar el caso real y revisar la entrega asíncrona (dom 08/11)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12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09/11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Clase 14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Parcial 3 (virtual síncrona · solo evaluación: el ensayo fue en la sesión 10)</w:t>
            </w:r>
          </w:p>
        </w:tc>
      </w:tr>
      <w:tr>
        <w:tc>
          <w:tcPr>
            <w:tcW w:type="dxa" w:w="244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—</w:t>
            </w:r>
          </w:p>
        </w:tc>
        <w:tc>
          <w:tcPr>
            <w:tcW w:type="dxa" w:w="244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15/11</w:t>
            </w:r>
          </w:p>
        </w:tc>
        <w:tc>
          <w:tcPr>
            <w:tcW w:type="dxa" w:w="244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—</w:t>
            </w:r>
          </w:p>
        </w:tc>
        <w:tc>
          <w:tcPr>
            <w:tcW w:type="dxa" w:w="2448"/>
            <w:shd w:val="clear" w:fill="F2F2F2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Cierra la entrega en ExamLab (domingo, 11:59 p. m.): cada integrante sube el .zip + enlace del equipo</w:t>
            </w:r>
          </w:p>
        </w:tc>
      </w:tr>
      <w:tr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13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16/11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Clase 15</w:t>
            </w:r>
          </w:p>
        </w:tc>
        <w:tc>
          <w:tcPr>
            <w:tcW w:type="dxa" w:w="2448"/>
          </w:tcPr>
          <w:p>
            <w:r/>
            <w:r>
              <w:rPr>
                <w:rFonts w:ascii="Calibri" w:hAnsi="Calibri" w:eastAsia="Calibri"/>
                <w:b w:val="0"/>
                <w:color w:val="2B2B2B"/>
                <w:sz w:val="20"/>
              </w:rPr>
              <w:t>Sesión síncrona de sustentaciones: turnos de 20 min (15 + 5), preguntas y cierre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Entrega y sustentación (común a los cinco cursos)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Plazo único en ExamLab: domingo 15 de noviembre de 2026, 11:59 p. m..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Se sube un solo archivo .zip con todo —código, documentos, diagramas y capturas—; dentro puede ir cualquier tipo de archivo, y pesa como máximo 50 MB, y el enlace al repositorio de GitHub o a la carpeta de Drive del proyecto (obligatorio).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Proyecto en equipo de 4 a 5 integrantes (máximo 5); solo el proyecto, los demás entregables conservan su modalidad. Cada integrante sube el .zip del equipo desde su cuenta: una entrega por estudiante.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Sustentación: lunes 16/11 (festivo, sí hay clase), por Meet: 15 minutos de exposición + 5 minutos de preguntas por equipo (turno de 20 minutos); hablan todos los integrantes.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Rúbrica detallada (calificar sobre 100 → escala a 20% del corte)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Modelo/DDL (20): normalización razonable, FK, constraints, nombres claros.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Seguridad/respaldo (15): al menos 2 roles con privilegios distintos; RPO/RTO en lenguaje simple; procedimiento de restore descrito.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Programables (25): triggers de auditoría o integridad; procs de negocio (agendar cita, registrar consulta, descontar stock).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Optimización (15): EXPLAIN o narrativa equivalente en playground; índices justificados.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Integración (10): operaciones CRUD vía procs; no hace falta desplegar API real.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Informe+sustentación (15): 15 min de exposición + 5 de preguntas; preguntas cruzadas al azar sobre cualquier parte del trabajo.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Evidencias a pedir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El .zip (scripts .sql, diagrama, informe, capturas) Y el enlace al repositorio o a la carpeta de Drive: los dos son obligatorios.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Capturas de ejecución en Live SQL / DB Fiddle.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color w:val="2B2B2B"/>
          <w:sz w:val="22"/>
        </w:rPr>
        <w:t>Reparto del guion por bloques temáticos y quién del equipo presenta qué.</w:t>
      </w:r>
    </w:p>
    <w:p>
      <w:pPr>
        <w:spacing w:after="120" w:before="240"/>
        <w:jc w:val="left"/>
      </w:pPr>
      <w:r>
        <w:rPr>
          <w:rFonts w:ascii="Calibri" w:hAnsi="Calibri" w:eastAsia="Calibri"/>
          <w:b/>
          <w:color w:val="095292"/>
          <w:sz w:val="24"/>
        </w:rPr>
        <w:t>Post-clase Padlet</w:t>
      </w:r>
    </w:p>
    <w:p>
      <w:pPr>
        <w:spacing w:after="120" w:before="0"/>
        <w:jc w:val="left"/>
      </w:pPr>
      <w:r>
        <w:rPr>
          <w:rFonts w:ascii="Calibri" w:hAnsi="Calibri" w:eastAsia="Calibri"/>
          <w:b w:val="0"/>
          <w:color w:val="2B2B2B"/>
          <w:sz w:val="22"/>
        </w:rPr>
        <w:t>Si usó Padlet en Clase 1: ⋯ → Clear posts → código → Delete (reutilizar cupo gratis).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