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Facultad de Ingenierías · Programa de Ingeniería de Sistemas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Proyecto Integrador — VetCare DB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8"/>
        </w:rPr>
        <w:t>Bases de Datos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Código FI303215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color w:val="2B2B2B"/>
          <w:sz w:val="20"/>
        </w:rPr>
        <w:t>Docente: Julian Andres Castaño Espinosa  ·  julianacastano@profesores.uniajc.edu.co</w:t>
      </w:r>
    </w:p>
    <w:p>
      <w:pPr>
        <w:spacing w:after="80" w:before="0"/>
        <w:jc w:val="center"/>
        <w:shd w:val="clear" w:fill="E8F4FA"/>
      </w:pPr>
      <w:r>
        <w:rPr>
          <w:rFonts w:ascii="Calibri" w:hAnsi="Calibri" w:eastAsia="Calibri"/>
          <w:b/>
          <w:color w:val="095292"/>
          <w:sz w:val="20"/>
        </w:rPr>
        <w:t>Versión estudiante — Entrega final en ExamLab, en la fecha que publica el docente</w:t>
      </w:r>
    </w:p>
    <w:p>
      <w:pPr>
        <w:spacing w:after="200" w:before="0"/>
        <w:jc w:val="center"/>
        <w:shd w:val="clear" w:fill="FFF8D6"/>
      </w:pPr>
      <w:r>
        <w:rPr>
          <w:rFonts w:ascii="Calibri" w:hAnsi="Calibri" w:eastAsia="Calibri"/>
          <w:b/>
          <w:color w:val="095292"/>
          <w:sz w:val="22"/>
        </w:rPr>
        <w:t>Proyecto en equipo — no es individual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Qué van a hacer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 xml:space="preserve">Construir </w:t>
      </w:r>
      <w:r>
        <w:rPr>
          <w:rFonts w:ascii="Calibri" w:hAnsi="Calibri" w:eastAsia="Calibri"/>
          <w:b/>
          <w:color w:val="2B2B2B"/>
          <w:sz w:val="22"/>
        </w:rPr>
        <w:t>VetCare DB</w:t>
      </w:r>
      <w:r>
        <w:rPr>
          <w:rFonts w:ascii="Calibri" w:hAnsi="Calibri" w:eastAsia="Calibri"/>
          <w:b w:val="0"/>
          <w:color w:val="2B2B2B"/>
          <w:sz w:val="22"/>
        </w:rPr>
        <w:t>, la base de datos de la Clínica Veterinaria «Huellitas»: el modelo, la seguridad y el respaldo, los objetos programables (procedimientos, funciones y disparadores), la optimización de consultas y la propuesta de cómo una aplicación la usaría. Todo en PostgreSQL. No se pide la aplicación: solo la base de datos.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 xml:space="preserve">El caso completo —las 8 entidades, las 3 reglas del negocio y los datos— está en el </w:t>
      </w:r>
      <w:r>
        <w:rPr>
          <w:rFonts w:ascii="Calibri" w:hAnsi="Calibri" w:eastAsia="Calibri"/>
          <w:b/>
          <w:color w:val="2B2B2B"/>
          <w:sz w:val="22"/>
        </w:rPr>
        <w:t>Anexo - Caso de estudio Clínica Huellitas</w:t>
      </w:r>
      <w:r>
        <w:rPr>
          <w:rFonts w:ascii="Calibri" w:hAnsi="Calibri" w:eastAsia="Calibri"/>
          <w:b w:val="0"/>
          <w:color w:val="2B2B2B"/>
          <w:sz w:val="22"/>
        </w:rPr>
        <w:t>, en esta misma carpeta.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Cuánto vale en la nota está en el Acuerdo pedagógico del curso.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Qué se entrega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 xml:space="preserve">Un solo archivo .zip con esta forma. La carpeta </w:t>
      </w:r>
      <w:r>
        <w:rPr>
          <w:rFonts w:ascii="Calibri" w:hAnsi="Calibri" w:eastAsia="Calibri"/>
          <w:b/>
          <w:color w:val="2B2B2B"/>
          <w:sz w:val="22"/>
        </w:rPr>
        <w:t>«Plantilla de entrega»</w:t>
      </w:r>
      <w:r>
        <w:rPr>
          <w:rFonts w:ascii="Calibri" w:hAnsi="Calibri" w:eastAsia="Calibri"/>
          <w:b w:val="0"/>
          <w:color w:val="2B2B2B"/>
          <w:sz w:val="22"/>
        </w:rPr>
        <w:t>, en esta misma carpeta, ya la trae armada: descárguenla, llénenla siguiendo sus INSTRUCCIONES y comprímanla.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Equipo &lt;nombre&gt;.zip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Informe.docx                    ← el informe, con las secciones de la plantilla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 xml:space="preserve">├── diagrama/                       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└── Diagrama ER.png             ← el modelo: el mismo que crea el DDL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├── scripts/                        ← corren en PostgreSQL tal cual, en orden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├── 01_ddl.sql                  ← tablas, llaves y restricciones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├── 02_roles_y_privilegios.sql  ← roles, GRANT y REVOKE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├── 03_programables.sql         ← procedimientos, funciones, disparadores y pruebas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│   └── 04_optimizacion.sql         ← consultas antes y después</w:t>
      </w:r>
    </w:p>
    <w:p>
      <w:pPr>
        <w:spacing w:after="0" w:before="0"/>
        <w:shd w:val="clear" w:fill="F4F6F8"/>
      </w:pPr>
      <w:r>
        <w:rPr>
          <w:rFonts w:ascii="Consolas" w:hAnsi="Consolas" w:eastAsia="Consolas"/>
          <w:b w:val="0"/>
          <w:color w:val="2B2B2B"/>
          <w:sz w:val="19"/>
        </w:rPr>
        <w:t>└── capturas/                       ← la salida de cada script y de cada prueba</w:t>
      </w:r>
    </w:p>
    <w:p>
      <w:pPr>
        <w:spacing w:after="80" w:before="0"/>
        <w:jc w:val="left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Pieza</w:t>
            </w:r>
          </w:p>
        </w:tc>
        <w:tc>
          <w:tcPr>
            <w:tcW w:type="dxa" w:w="7056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tiene que tener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Informe.docx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secciones de la plantilla: portada con integrantes, modelo, seguridad y respaldo (con el plan de respaldo y recuperación), objetos programables, optimización, integración app ↔ BD y cómo correr los scripts.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Diagrama ER.png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entidades del caso Huellitas (ver el anexo), con sus llaves y cardinalidades. Coincide con el DDL.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01_ddl.sql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Todas las tablas, con llaves primarias y foráneas y las restricciones de las reglas del negocio.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02_roles_y_privilegios.sql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2 roles con privilegios distintos.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03_programables.sql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2 procedimientos, 1 función y 2 disparadores, cada uno con su caso de prueba.</w:t>
            </w:r>
          </w:p>
        </w:tc>
      </w:tr>
      <w:tr>
        <w:tc>
          <w:tcPr>
            <w:tcW w:type="dxa" w:w="273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04_optimizacion.sql</w:t>
            </w:r>
          </w:p>
        </w:tc>
        <w:tc>
          <w:tcPr>
            <w:tcW w:type="dxa" w:w="7056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Al menos 2 consultas con su EXPLAIN antes y después, y el índice o la reescritura que las mejora.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capturas/</w:t>
            </w:r>
          </w:p>
        </w:tc>
        <w:tc>
          <w:tcPr>
            <w:tcW w:type="dxa" w:w="7056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 salida de cada script y de cada caso de prueba.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Cómo se califica (100 puntos)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720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Pts</w:t>
            </w:r>
          </w:p>
        </w:tc>
        <w:tc>
          <w:tcPr>
            <w:tcW w:type="dxa" w:w="60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se mira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Modelo y DDL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El ER y el DDL coinciden; llaves y restricciones de las reglas del negocio.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Seguridad y respaldo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Roles con privilegios distintos y un plan de respaldo y recuperación.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Objetos programables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Procedimientos, funciones y disparadores que corren, con sus pruebas.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Optimización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Antes y después medidos, con la justificación.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Integración app ↔ BD</w:t>
            </w:r>
          </w:p>
        </w:tc>
        <w:tc>
          <w:tcPr>
            <w:tcW w:type="dxa" w:w="720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Las operaciones y un ejemplo de llamada.</w:t>
            </w:r>
          </w:p>
        </w:tc>
      </w:tr>
      <w:tr>
        <w:tc>
          <w:tcPr>
            <w:tcW w:type="dxa" w:w="3024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Informe y sustentación</w:t>
            </w:r>
          </w:p>
        </w:tc>
        <w:tc>
          <w:tcPr>
            <w:tcW w:type="dxa" w:w="720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</w:t>
            </w:r>
          </w:p>
        </w:tc>
        <w:tc>
          <w:tcPr>
            <w:tcW w:type="dxa" w:w="60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Claridad, demostración en vivo y respuestas de todos.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Entrega y sustentación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Plazo único para todo 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la fecha y la hora que el docente publica en ExamLab.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sube:</w:t>
      </w:r>
      <w:r>
        <w:rPr>
          <w:rFonts w:ascii="Calibri" w:hAnsi="Calibri" w:eastAsia="Calibri"/>
          <w:b w:val="0"/>
          <w:color w:val="2B2B2B"/>
          <w:sz w:val="22"/>
        </w:rPr>
        <w:t xml:space="preserve"> solo el .zip, de máximo 50 MB. No se sube ningún enlace aparte: todo va dentro del .zip.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Uno de los integrantes sube la entrega del equipo</w:t>
      </w:r>
      <w:r>
        <w:rPr>
          <w:rFonts w:ascii="Calibri" w:hAnsi="Calibri" w:eastAsia="Calibri"/>
          <w:b w:val="0"/>
          <w:color w:val="2B2B2B"/>
          <w:sz w:val="22"/>
        </w:rPr>
        <w:t xml:space="preserve"> en ExamLab y queda para todos.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Sustentación:</w:t>
      </w:r>
      <w:r>
        <w:rPr>
          <w:rFonts w:ascii="Calibri" w:hAnsi="Calibri" w:eastAsia="Calibri"/>
          <w:b w:val="0"/>
          <w:color w:val="2B2B2B"/>
          <w:sz w:val="22"/>
        </w:rPr>
        <w:t xml:space="preserve"> en la última clase del curso, 15 minutos de exposición + 5 minutos de preguntas por equipo (turno de 20 minutos); hablan todos los integrantes.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Qué se muestra:</w:t>
      </w:r>
      <w:r>
        <w:rPr>
          <w:rFonts w:ascii="Calibri" w:hAnsi="Calibri" w:eastAsia="Calibri"/>
          <w:b w:val="0"/>
          <w:color w:val="2B2B2B"/>
          <w:sz w:val="22"/>
        </w:rPr>
        <w:t xml:space="preserve"> ejecutar en vivo un procedimiento y un disparador con sus casos de prueba, y una consulta antes y después de optimizarla.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Reglas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En equipo, no individual.</w:t>
      </w:r>
      <w:r>
        <w:rPr>
          <w:rFonts w:ascii="Calibri" w:hAnsi="Calibri" w:eastAsia="Calibri"/>
          <w:b w:val="0"/>
          <w:color w:val="2B2B2B"/>
          <w:sz w:val="22"/>
        </w:rPr>
        <w:t xml:space="preserve"> El número de integrantes lo indica el docente; el equipo es el mismo hasta el final. Es regla solo del proyecto: talleres, quices y parciales tienen su propia modalidad.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Todos los integrantes deben poder explicar cualquier parte: en la sustentación las preguntas van al azar a cualquiera.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Herramientas gratuitas: PostgreSQL (el mismo motor de ExamLab) o DB Fiddle con PostgreSQL, y draw.io para el diagrama. No hay que instalar nada de pago.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