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 w:eastAsia="Calibri"/>
          <w:b/>
          <w:color w:val="095292"/>
          <w:sz w:val="20"/>
        </w:rPr>
        <w:t>Institución Universitaria Antonio José Camacho — UNIAJC</w:t>
      </w:r>
    </w:p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Guía docente · Proyecto Integrador — Bases de Datos II</w:t>
      </w:r>
    </w:p>
    <w:p>
      <w:pPr>
        <w:spacing w:after="120" w:before="160"/>
        <w:jc w:val="center"/>
      </w:pPr>
      <w:r>
        <w:rPr>
          <w:rFonts w:ascii="Calibri" w:hAnsi="Calibri" w:eastAsia="Calibri"/>
          <w:b/>
          <w:color w:val="095292"/>
          <w:sz w:val="26"/>
        </w:rPr>
        <w:t>Bases de Datos II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2B2B2B"/>
          <w:sz w:val="22"/>
        </w:rPr>
        <w:t>Código FI303215</w:t>
      </w:r>
    </w:p>
    <w:p>
      <w:pPr>
        <w:spacing w:after="200" w:before="0"/>
        <w:jc w:val="center"/>
        <w:shd w:val="clear" w:fill="FBE4E4"/>
      </w:pPr>
      <w:r>
        <w:rPr>
          <w:rFonts w:ascii="Calibri" w:hAnsi="Calibri" w:eastAsia="Calibri"/>
          <w:b/>
          <w:color w:val="A02030"/>
          <w:sz w:val="20"/>
        </w:rPr>
        <w:t>DOCUMENTO DOCENTE — No distribuir a estudiantes. Incluye rúbrica e hitos.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Contexto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Patrón heredado de Prog. II / Seminario: PI continuo ABPr; su peso en la nota lo fija el Acuerdo pedagógico de cada semestre. Enunciados viejos viven como .gdoc en Clase 1; aquí se materializa en Clases/Proyecto Integrador/ (estudiante) + Kit docente/Proyecto Integrador/.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Alineación RAA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RAA1 Seguridad y respaldo → roles, privilegios, plan de backup/restore.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RAA2 Procedimientos y disparadores → procs, funciones, triggers con pruebas.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RAA3 Optimización → índices, reescritura, evidencia antes/después.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Hitos docentes (por clase del material; las fechas están en el calendario del semestre)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Clase(s)</w:t>
            </w:r>
          </w:p>
        </w:tc>
        <w:tc>
          <w:tcPr>
            <w:tcW w:type="dxa" w:w="748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 docente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Clases 11 y 12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Revisión de avance con checklist viva + empujar integración app↔BD y casos de prueba</w:t>
            </w:r>
          </w:p>
        </w:tc>
      </w:tr>
      <w:tr>
        <w:tc>
          <w:tcPr>
            <w:tcW w:type="dxa" w:w="230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Clase 13</w:t>
            </w:r>
          </w:p>
        </w:tc>
        <w:tc>
          <w:tcPr>
            <w:tcW w:type="dxa" w:w="748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Publicar el caso real y revisar la entrega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Antes de la última clase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Cierra la entrega en ExamLab, en la fecha y la hora que usted publique: uno de los integrantes sube el .zip y queda para todo el equipo</w:t>
            </w:r>
          </w:p>
        </w:tc>
      </w:tr>
      <w:tr>
        <w:tc>
          <w:tcPr>
            <w:tcW w:type="dxa" w:w="230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Clase 15 (la última)</w:t>
            </w:r>
          </w:p>
        </w:tc>
        <w:tc>
          <w:tcPr>
            <w:tcW w:type="dxa" w:w="748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Sustentaciones en turnos de 20 min (15 + 5), preguntas y cierre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Entrega y sustentación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Plazo único en ExamLab: el que usted publique allí, el mismo para todos los grupos. Un solo archivo .zip —dentro puede ir cualquier tipo de archivo; máximo 50 MB—, sin enlace: el campo de enlace de ExamLab está apagado y todo va dentro del .zip. Los estudiantes tienen la carpeta «Plantilla de entrega» con la forma exacta del .zip.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 xml:space="preserve">Proyecto en equipo (el número de integrantes lo indica usted cada semestre) —solo el proyecto: los demás entregables conservan su modalidad—. </w:t>
      </w:r>
      <w:r>
        <w:rPr>
          <w:rFonts w:ascii="Calibri" w:hAnsi="Calibri" w:eastAsia="Calibri"/>
          <w:b/>
          <w:color w:val="2B2B2B"/>
          <w:sz w:val="22"/>
        </w:rPr>
        <w:t>Uno de los integrantes sube la entrega del equipo</w:t>
      </w:r>
      <w:r>
        <w:rPr>
          <w:rFonts w:ascii="Calibri" w:hAnsi="Calibri" w:eastAsia="Calibri"/>
          <w:b w:val="0"/>
          <w:color w:val="2B2B2B"/>
          <w:sz w:val="22"/>
        </w:rPr>
        <w:t xml:space="preserve"> en ExamLab y queda para todos.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Sustentación: en la última clase del curso, 15 minutos de exposición + 5 minutos de preguntas por equipo (turno de 20 minutos); hablan todos los integrantes.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Lo que deben mostrar: ejecutar en vivo un procedimiento y un disparador con sus casos de prueba, y una consulta antes y después de optimizarla.</w:t>
      </w:r>
    </w:p>
    <w:p>
      <w:pPr>
        <w:spacing w:after="80" w:before="160"/>
        <w:jc w:val="left"/>
      </w:pPr>
      <w:r>
        <w:rPr>
          <w:rFonts w:ascii="Calibri" w:hAnsi="Calibri" w:eastAsia="Calibri"/>
          <w:b/>
          <w:color w:val="269CCB"/>
          <w:sz w:val="22"/>
        </w:rPr>
        <w:t>Qué revisar en el .zip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Pieza</w:t>
            </w:r>
          </w:p>
        </w:tc>
        <w:tc>
          <w:tcPr>
            <w:tcW w:type="dxa" w:w="7056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Qué debe traer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Informe.docx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Las secciones de la plantilla: portada con integrantes, modelo, seguridad y respaldo (con el plan de respaldo y recuperación), objetos programables, optimización, integración app ↔ BD y cómo correr los scripts.</w:t>
            </w:r>
          </w:p>
        </w:tc>
      </w:tr>
      <w:tr>
        <w:tc>
          <w:tcPr>
            <w:tcW w:type="dxa" w:w="273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Diagrama ER.png</w:t>
            </w:r>
          </w:p>
        </w:tc>
        <w:tc>
          <w:tcPr>
            <w:tcW w:type="dxa" w:w="705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Las entidades del caso Huellitas (ver el anexo), con sus llaves y cardinalidades. Coincide con el DDL.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01_ddl.sql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Todas las tablas, con llaves primarias y foráneas y las restricciones de las reglas del negocio.</w:t>
            </w:r>
          </w:p>
        </w:tc>
      </w:tr>
      <w:tr>
        <w:tc>
          <w:tcPr>
            <w:tcW w:type="dxa" w:w="273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02_roles_y_privilegios.sql</w:t>
            </w:r>
          </w:p>
        </w:tc>
        <w:tc>
          <w:tcPr>
            <w:tcW w:type="dxa" w:w="705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Al menos 2 roles con privilegios distintos.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03_programables.sql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Al menos 2 procedimientos, 1 función y 2 disparadores, cada uno con su caso de prueba.</w:t>
            </w:r>
          </w:p>
        </w:tc>
      </w:tr>
      <w:tr>
        <w:tc>
          <w:tcPr>
            <w:tcW w:type="dxa" w:w="273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04_optimizacion.sql</w:t>
            </w:r>
          </w:p>
        </w:tc>
        <w:tc>
          <w:tcPr>
            <w:tcW w:type="dxa" w:w="705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Al menos 2 consultas con su EXPLAIN antes y después, y el índice o la reescritura que las mejora.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capturas/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La salida de cada script y de cada caso de prueba.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Rúbrica detallada (sobre 100; se lleva al peso que fija el Acuerdo pedagógico)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Modelo/DDL (20): normalización razonable, FK, constraints, nombres claros.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Seguridad/respaldo (15): al menos 2 roles con privilegios distintos; RPO/RTO en lenguaje simple; procedimiento de restore descrito.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Programables (25): triggers de auditoría o integridad; procs de negocio (agendar cita, registrar consulta, descontar stock).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Optimización (15): EXPLAIN o narrativa equivalente en playground; índices justificados.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Integración (10): operaciones CRUD vía procs; no hace falta desplegar API real.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Informe+sustentación (15): 15 min de exposición + 5 de preguntas; preguntas cruzadas al azar sobre cualquier parte del trabajo.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En la sustentación, además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Reparto del guion por bloques temáticos y quién del equipo presenta qué.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Post-clase Padlet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Si usó Padlet en Clase 1: ⋯ → Clear posts → código → Delete (reutilizar cupo gratis).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