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13 — Autoescalado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escalar la API no escala sola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autoescalado conceptual = evidencia de diseño (sin cloud de pago).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Documentar política de autoescalado conceptual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Escalabilidad: triggers, límites, qué escala y qué no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componente, tipo, trigger up/down, min/max, cooldown.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Impacto en costo cualitativo (enlace a Clase 10).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 nota en Deployment)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ExamLab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 la politica en la seccion Escalabilidad del informe, anote la marca de replicas en el diagrama de despliegue si aplica y suba las 5 preguntas a ExamLab (modulo Talleres) antes del domingo 23:59, verificando que la politica no prometa nada que la arquitectura dibujada no pueda cumplir.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¿Triggers medibles (RPS, p95, cola)?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techo (max) para no escalar infinito?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¿DB/sesión sticky justificados como no-escalables?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la politica de autoescalado conceptual de CloudLite con disparadores numericos, minimos y maximos, tiempo de enfriamiento, los componentes que deliberadamente no escalan y el impacto en costos.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autoescalado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de decision del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NO escala y por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Impacto del autoescalado en costos y sostenibilidad.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Disparadores de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(«flowchart»)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«flowchart»».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