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pPr>
        <w:spacing w:before="200" w:after="60"/>
      </w:pPr>
      <w:r>
        <w:rPr>
          <w:b/>
          <w:color w:val="1A1C1D"/>
          <w:sz w:val="32"/>
        </w:rPr>
        <w:t>La teoria propia del dia: que es una revision de arquitectura - diapositiva 4</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pPr>
        <w:spacing w:before="200" w:after="60"/>
      </w:pPr>
      <w:r>
        <w:rPr>
          <w:b/>
          <w:color w:val="1A1C1D"/>
          <w:sz w:val="32"/>
        </w:rPr>
        <w:t>El insumo: las seis piezas del paquete CloudLite v1 - diapositiva 5</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pPr>
        <w:spacing w:before="200" w:after="60"/>
      </w:pPr>
      <w:r>
        <w:rPr>
          <w:b/>
          <w:color w:val="1A1C1D"/>
          <w:sz w:val="32"/>
        </w:rPr>
        <w:t>Las cinco preguntas de coherencia, en orden - diapositiva 5</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pPr>
        <w:spacing w:before="200" w:after="60"/>
      </w:pPr>
      <w:r>
        <w:rPr>
          <w:b/>
          <w:color w:val="1A1C1D"/>
          <w:sz w:val="32"/>
        </w:rPr>
        <w:t>Scope creep y arquitectura de papel: las dos patologias con nombre propio - diapositiva 6</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pPr>
        <w:spacing w:before="200" w:after="60"/>
      </w:pPr>
      <w:r>
        <w:rPr>
          <w:b/>
          <w:color w:val="1A1C1D"/>
          <w:sz w:val="32"/>
        </w:rPr>
        <w:t>Retroalimentacion accionable: observacion, evidencia, impacto y accion con fecha - diapositiva 7</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pPr>
        <w:spacing w:before="200" w:after="60"/>
      </w:pPr>
      <w:r>
        <w:rPr>
          <w:b/>
          <w:color w:val="1A1C1D"/>
          <w:sz w:val="32"/>
        </w:rPr>
        <w:t>El semaforo: el umbral que decide si el proyecto va a tiempo - diapositiva 7</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pPr>
        <w:spacing w:before="200" w:after="60"/>
      </w:pPr>
      <w:r>
        <w:rPr>
          <w:b/>
          <w:color w:val="1A1C1D"/>
          <w:sz w:val="32"/>
        </w:rPr>
        <w:t>Preguntas frecuentes y cierre conceptual (de la diapositiva 5 a la diapositiva 7)</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Checklist de avance (obligatorio)</w:t>
      </w:r>
    </w:p>
    <w:p>
      <w:pPr>
        <w:pStyle w:val="ListNumber"/>
      </w:pPr>
      <w:r>
        <w:rPr>
          <w:b w:val="0"/>
          <w:color w:val="4A4A49"/>
          <w:sz w:val="22"/>
        </w:rPr>
        <w:t>Errores frecuentes a corregir</w:t>
      </w:r>
    </w:p>
    <w:p>
      <w:pPr>
        <w:pStyle w:val="ListNumber"/>
      </w:pPr>
      <w:r>
        <w:rPr>
          <w:b w:val="0"/>
          <w:color w:val="4A4A49"/>
          <w:sz w:val="22"/>
        </w:rPr>
        <w:t>Rúbrica (recordatorio)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Checklist de avance (obligatorio)</w:t>
      </w:r>
      <w:r>
        <w:rPr>
          <w:b w:val="0"/>
          <w:color w:val="4A4A49"/>
          <w:sz w:val="22"/>
        </w:rPr>
        <w:t xml:space="preserve"> · [Slide 5]</w:t>
      </w:r>
    </w:p>
    <w:p>
      <w:pPr>
        <w:pStyle w:val="ListBullet"/>
      </w:pPr>
      <w:r>
        <w:rPr>
          <w:b/>
          <w:color w:val="4A4A49"/>
          <w:sz w:val="22"/>
        </w:rPr>
        <w:t>Errores frecuentes a corregir</w:t>
      </w:r>
      <w:r>
        <w:rPr>
          <w:b w:val="0"/>
          <w:color w:val="4A4A49"/>
          <w:sz w:val="22"/>
        </w:rPr>
        <w:t xml:space="preserve"> · [Slide 6]</w:t>
      </w:r>
    </w:p>
    <w:p>
      <w:pPr>
        <w:pStyle w:val="ListBullet"/>
      </w:pPr>
      <w:r>
        <w:rPr>
          <w:b/>
          <w:color w:val="4A4A49"/>
          <w:sz w:val="22"/>
        </w:rPr>
        <w:t>Rúbrica (recordatorio)</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Narra los clics en voz alta. Si falla la red, proyecta la solución docente de este kit (</w:t>
      </w:r>
      <w:r>
        <w:rPr>
          <w:rFonts w:ascii="Consolas" w:hAnsi="Consolas"/>
          <w:color w:val="111111"/>
          <w:sz w:val="21"/>
        </w:rPr>
        <w:t>Solucion Taller Clase 11 -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GitHub · Google Docs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