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publica la capa de API de VetCare (tres funciones con contrato de retorno uniforme), la consume desde codigo con parametros ligados, la blinda con privilegios de EXECUTE y prepara el guion de la sustentacion.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capa de API de VetCare: tres operaciones con contrato uniforme.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cliente de la aplicacion: consumir la API con parametros ligados.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app -&gt; BD del caso de uso "atender una mascota".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Blindar la API: la aplicacion solo puede EXECUTE.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integracion app &lt;-&gt; BD (documento del entregable).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la sustentacion (5 a 8 minutos).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(«sequenceDiagram»)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«sequenceDiagram»».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