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7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¿Cuándo NO conviene crear un índice?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Filtros frecuentes selectivos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Baja selectividad o escritura intensa sin lectura asociada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Agenda por fecha_hora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FK muy consultada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Índice típico para agenda del día: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Sobre cita.fecha_hora (y opcionalmente estado)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Sobre un comentario libre nunca filtrado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Sobre todas las columnas a la vez sin criterio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Ninguno nunca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Particionamiento aquí se trabaja como concepto (p. ej. rango de fecha); no exige SGBD local de pago.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Más índices siempre aceleran inserts/updates de stock y facturas.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Selectividad alta significa: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Casi todas las filas comparten el valor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El predicado discrimina bien (pocas filas)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Que no hay PK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Que hay SELECT *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Documentar por qué se creó (o no) un índice es parte de la evidencia del PI.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Proponga un índice VetCare (tabla + columna(s) + consulta que lo usa).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¿Particionaría citas por mes? Justifique en 1 frase (sí/no + motivo).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